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  <w:highlight w:val="none"/>
        </w:rPr>
      </w:pPr>
      <w:r>
        <w:rPr>
          <w:rFonts w:hint="default" w:ascii="Times New Roman" w:hAnsi="Times New Roman" w:cs="Times New Roman"/>
          <w:b/>
          <w:sz w:val="44"/>
          <w:szCs w:val="44"/>
          <w:highlight w:val="none"/>
        </w:rPr>
        <w:t>关于康平县202</w:t>
      </w:r>
      <w:r>
        <w:rPr>
          <w:rFonts w:hint="default" w:ascii="Times New Roman" w:hAnsi="Times New Roman" w:cs="Times New Roman"/>
          <w:b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b/>
          <w:sz w:val="44"/>
          <w:szCs w:val="44"/>
          <w:highlight w:val="none"/>
        </w:rPr>
        <w:t>年</w:t>
      </w:r>
      <w:r>
        <w:rPr>
          <w:rFonts w:hint="eastAsia" w:ascii="Times New Roman" w:hAnsi="Times New Roman" w:cs="Times New Roman"/>
          <w:b/>
          <w:sz w:val="44"/>
          <w:szCs w:val="44"/>
          <w:highlight w:val="none"/>
          <w:lang w:val="en-US" w:eastAsia="zh-CN"/>
        </w:rPr>
        <w:t>度</w:t>
      </w:r>
      <w:r>
        <w:rPr>
          <w:rFonts w:hint="default" w:ascii="Times New Roman" w:hAnsi="Times New Roman" w:cs="Times New Roman"/>
          <w:b/>
          <w:sz w:val="44"/>
          <w:szCs w:val="44"/>
          <w:highlight w:val="none"/>
        </w:rPr>
        <w:t>财政决算的报告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县人大常委会主任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、各位副主任、各位委员：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我受县人民政府委托，向本次会议报告202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年预算最终执行情况，请予审议。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一、202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财政决算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</w:rPr>
        <w:t>一般公共预算收支完成情况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highlight w:val="none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全县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一般公共预算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收支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年，全县一般公共预算收入完成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113909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万元，完成调整预算目标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113800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万元的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.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，超收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109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4912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4.5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还原留抵退税后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口径完成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121084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10.2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按结构划分：税收收入完成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68728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万元，同比减少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28909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万元，下降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29.6%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；非税收入完成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45181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万元，同比增加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33821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297.7%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。税收占一般公共预算收入比重为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60.3%。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按收入级次划分：县本级完成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71858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33227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86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；乡镇级完成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42051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28315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下降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40.2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税收按产业划分：第一产业完成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431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万元，同比增加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38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9.7%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；第二产业完成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31367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元，同比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减少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665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17.5%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；第三产业完成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36930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万元，同比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减少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222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94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万元，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37.6%。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全县一般公共预算支出完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384643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万元，为调整预算数的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106.9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，同比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40345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11.7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。支出项目（按功能科目分类）完成情况是：一般公共服务支出完成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35452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同比增长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58.8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国防支出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439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万元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；公共安全支出完成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13615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同比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54.5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；教育支出完成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47102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同比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0.2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；科学技术支出完成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同比下降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文化旅游体育与传媒支出完成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1348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同比下降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12.5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社会保障和就业支出完成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56566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下降3.1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卫生健康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24583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53.9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节能环保支出完成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6815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同比下降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57.7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城乡社区支出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58710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17.2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农林水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63068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增长0.5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交通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运输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18708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下降5.9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资源勘探工业信息等支出完成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37921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24.3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商业服务业等支出完成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687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增长458.5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金融支出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362万元；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自然资源海洋气象等支出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5649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增长412.6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住房保障支出完成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6748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29.5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灾害防治及应急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2360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同比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217.2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其他支出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300万元；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债务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付息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支出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4152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增长13.2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债券发行费用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下降64.5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highlight w:val="none"/>
          <w:lang w:val="en-US" w:eastAsia="zh-CN"/>
        </w:rPr>
        <w:t>收支平衡情况：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年，一般公共预算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113909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万元，上级补助收入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269511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万元（其中：返还性收入7032万元；一般性转移支付收入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222934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万元，包括财力性转移支付收入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124491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万元，共同事权转移支付收入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98443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万元；专项转移支付收入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39545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万元），上年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14440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万元，一般债务转贷收入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19332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调入资金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28366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万元（其中：从政府性基金预算调入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26921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万元；从其他资金调入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1445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万元），总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来源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445558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万元。一般公共预算支出完成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384643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万元，体制上解支出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13865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万元，专项上解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支出5385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万元，地方政府一般债务还本支出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20852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结转下年支出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20813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万元，总支出为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445558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收支相抵，实现当年收支预算平衡。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2.县本级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一般公共预算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收支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县本级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一般公共预算收入完成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71858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万元，同比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33227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增长86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其中：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税收收入完成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26812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万元，同比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减少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771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万元，下降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2.8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%；非税收入完成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45046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万元，同比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3399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万元，增长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307.8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%。一般公共预算支出完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329678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万元，同比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增加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92543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增长39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highlight w:val="none"/>
          <w:lang w:val="en-US" w:eastAsia="zh-CN"/>
        </w:rPr>
        <w:t>收支平衡情况：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县本级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一般公共预算收入完成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71858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万元，上级补助收入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269511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下级上解收入9332万元，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上年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结转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14440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万元，一般债务转贷收入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19332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调入资金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28366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万元，总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来源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412839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万元。一般公共预算支出完成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329678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万元，体制上解支出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13865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万元，专项上解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支出5385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补助下级支出22246万元，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地方政府一般债务还本支出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20852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结转下年支出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20813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万元，总支出为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412839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收支相抵，实现当年收支预算平衡。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highlight w:val="none"/>
        </w:rPr>
        <w:t>政府性基金预算收支完成情况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1.全县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政府性基金预算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收支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年，全县政府性基金预算收入完成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25414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万元，为调整预算的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92.9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短收1951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万元，同比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减少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10231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下降28.7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年，全县政府性基金预算支出完成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14310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万元，为调整预算数的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31.6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%，同比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减少20422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下降58.8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%。支出项目（按功能科目分类）完成情况是：社会保障和就业支出完成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725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城乡社区支出完成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9817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其他支出完成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2965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债务付息支出完成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801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债务发行费用支出完成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highlight w:val="none"/>
          <w:lang w:val="en-US" w:eastAsia="zh-CN"/>
        </w:rPr>
        <w:t>收支平衡情况：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年，政府性基金预算收入完成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25414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万元，上级专项补助收入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14788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万元，上年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结转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4001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万元，调入资金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158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万元，专项债务转贷收入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2416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万元，总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来源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46777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万元。政府性基金预算支出完成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14310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万元，专项上解支出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1136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万元，调出资金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26921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万元，专项债务还本支出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2416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万元，结转下年支出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1994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万元，总支出为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46777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万元。收支相抵，实现当年收支预算平衡。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highlight w:val="none"/>
        </w:rPr>
      </w:pP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2.县本级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政府性基金预算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  <w:lang w:val="en-US" w:eastAsia="zh-CN"/>
        </w:rPr>
        <w:t>收支</w:t>
      </w:r>
      <w:r>
        <w:rPr>
          <w:rFonts w:hint="default" w:ascii="Times New Roman" w:hAnsi="Times New Roman" w:eastAsia="仿宋" w:cs="Times New Roman"/>
          <w:b/>
          <w:bCs/>
          <w:sz w:val="32"/>
          <w:highlight w:val="none"/>
        </w:rPr>
        <w:t>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县本级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政府性基金预算收入完成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25414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万元，同比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减少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10231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下降28.7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政府性基金预算支出完成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12176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万元，同比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减少20364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下降62.6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highlight w:val="none"/>
          <w:lang w:val="en-US" w:eastAsia="zh-CN"/>
        </w:rPr>
        <w:t>收支平衡情况：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县本级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政府性基金预算收入完成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25414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万元，上级专项补助收入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14788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万元，上年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结转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4001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万元，调入资金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158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万元，专项债务转贷收入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2416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万元，总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来源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46777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万元。政府性基金预算支出完成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12176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万元，专项上解支出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1136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补助下级支出2134万元，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调出资金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26921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万元，专项债务还本支出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2416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万元，结转下年支出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1994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万元，总支出为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46777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万元。收支相抵，实现当年收支预算平衡。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</w:rPr>
        <w:t>国有资本经营预算收支完成情况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根据《国务院关于进一步深化预算管理制度改革的意见》（国发〔2021〕5号）规定，我县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没有编制202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年国有资本经营预算。在执行过程中，我县收到上级专项补助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万元（国有企业退休人员社会化管理补助）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上年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总收入为55万元。当年支出1万元，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结转下年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总支出为55万元，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当年收支预算平衡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</w:rPr>
        <w:t>社会保险基金收支完成情况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社会保险基金收支由市级核算，202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年，全县社会保险基金收入（即城乡居民基本养老保险）完成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18904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万元，支出完成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11335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万元，当年结余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7569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万元，年末滚存结余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15328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/>
        </w:rPr>
        <w:t>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2022年末全县地方政府债务余额145380万元（控制在政府债务限额159900万元内），其中：一般债务余额123131万元，专项债务余额22249万元。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2022年地方政府债务还本付息合计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28221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万元，其中：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地方政府债务还本23268万元（一般债务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20852万元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专项债务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2416万元），债务付息4953万元（一般债务利息4152万元、专项债务利息801万元）。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二、工作落实情况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63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kern w:val="15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bidi="ar"/>
        </w:rPr>
        <w:t>（一）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积极应对风险挑战，最大效益发挥财政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保障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面对2022年疫情和减税降费政策影响，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县财政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一手抓收入、一手抓支出，双管齐下，保证了财政运行平稳。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实施积极财政政策，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锚定预算目标，拓宽思路，积极谋划，通过加强收入征管，挖掘增收潜能，尤其是通过盘活农村安全饮水项目成功遏住收入持续下滑趋势，实现财政收入正增长，全年一般公共预算收入增幅在一市一区两县中排名第一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加强财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政资金绩效应用，对实施项目开展预算绩效目标管理及绩效评价，并根据评价结果调整资金使用，优化资源配置。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扎实推进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三争取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工作，精准对接上级政策导向和支持方向，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财政口径成功争取上级资金4.2亿元，取得了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上级有关部门对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我县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振兴发展的支持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与帮助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（二）激发市场潜在活力，最大效益发挥财政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杠杆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全面落实上级部门助企纾困系列政策，加强与金融部门联动，实打实为企业排忧解难。</w:t>
      </w:r>
      <w:r>
        <w:rPr>
          <w:rFonts w:hint="default" w:ascii="Times New Roman" w:hAnsi="Times New Roman" w:eastAsia="仿宋" w:cs="Times New Roman"/>
          <w:b/>
          <w:bCs/>
          <w:color w:val="333333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全面落实组合式税费支持政策，完成全口径增值税留抵退税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1.4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亿元，其他税收优惠政策减免缓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0.75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亿元。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二是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加强财政金融政策协同，帮助32家企业获批助企纾困贷款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1.37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33家企业获批小微企业创业担保贷款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0.7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亿元；推出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园区集合贷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融资产品，首批18家域内企业获批贷款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0.09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亿元；成功争取国开行基础设施投资基金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0.79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亿元；搭建政银企担合作平台，帮助企业融资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4.93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亿元。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三是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优化政府采购营商环境，推动全流程电子化政府采购，有效提高企业参与政府采购便利度。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加强涉企收费管理，制定2022年康平县本级涉企行政事业性收费目录清单，推进普遍性降费，激发市场活力，支持实体经济发展。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63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（三）持续增进民生福祉，最大效益发挥财政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理财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深入贯彻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落实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政府过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紧日子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要求，当好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铁公鸡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、打好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铁算盘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把每一分钱都用在刀刃上、紧要处。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在社会保障方面投入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5.59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用于困难群众及弱势群体救助补助、优抚优待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金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、弥补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</w:rPr>
        <w:t>机关事业养老保险缺口和城乡居民养老保险补助等；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补缴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过渡期的机关事业养老保险和职业年金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0.35亿元。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二是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在卫生健康方面投入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2.46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亿元，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用于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基本公共卫生服务、公费医疗人员医药费、公教人员大病救助、疫情防控经费等；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在教育事业方面投入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4.7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亿元，用于足额保障教师工资福利待遇及生均经费，支持教育软硬件均衡性发展、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双减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政策落实、农村教师差异化补助等；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在加强基础设施建设方面投入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4.12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亿元，用于污水处理、老旧小区改造、城区排水管网改造、水利工程建设等；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五是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在助力乡村振兴方面投入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7.43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亿元，用于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一事一议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财政奖补项目建设、农村改厕、高标准农田建设、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乡村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基础设施改造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</w:rPr>
        <w:t>、惠农补贴发放等。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63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bidi="ar"/>
        </w:rPr>
        <w:t>（四）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有效防范财政风险，最大效益发挥财政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稳定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highlight w:val="none"/>
          <w:lang w:val="en-US" w:eastAsia="zh-CN" w:bidi="ar"/>
        </w:rPr>
        <w:t>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kern w:val="15"/>
          <w:sz w:val="32"/>
          <w:szCs w:val="32"/>
          <w:highlight w:val="none"/>
          <w:lang w:bidi="ar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bidi="ar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bidi="ar"/>
        </w:rPr>
        <w:t>依托财政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预算管理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bidi="ar"/>
        </w:rPr>
        <w:t>一体化系统，科学规范预算执行流程，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bidi="ar"/>
        </w:rPr>
        <w:t>严格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val="en-US" w:eastAsia="zh-CN" w:bidi="ar"/>
        </w:rPr>
        <w:t>压减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bidi="ar"/>
        </w:rPr>
        <w:t>非急需非刚性支出，优先保证基本民生、工资、运转等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 w:bidi="ar"/>
        </w:rPr>
        <w:t>“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bidi="ar"/>
        </w:rPr>
        <w:t>三保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highlight w:val="none"/>
          <w:lang w:eastAsia="zh-CN" w:bidi="ar"/>
        </w:rPr>
        <w:t>”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bidi="ar"/>
        </w:rPr>
        <w:t>重点支出。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bidi="ar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实行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bidi="ar"/>
        </w:rPr>
        <w:t>全口径债务实时跟踪预警，科学研判偿债预期，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积极筹措资金足额偿还年度债务，债务风险率降为114%，自2018年以来首次转为绿色风险地区。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完善全县重大金融风险评估和风险防控预案，建立调度会商机制，主动服务域内金融机构，助力经济社会平稳发展。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三、存在问题及下一步工作措施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2022年，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在县委的正确领导下，在县人大及其常委会的依法监督下，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面对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收入预算执行难度加大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收支矛盾突出的困难形势，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财政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部门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统一思想认识，敢于担当作为，打好收入增长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翻身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仗，保障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三保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及重点领域支出，实现了财政运行整体平稳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。在取得一定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成绩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的同时，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还存在一些困难和问题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主要体现在：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税源基础薄弱，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税收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来源主要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依靠能源型企业，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缺乏主导产业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税源，同时非税一次性收入占比偏高，财政收入可持续增长的后劲不足。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受偿还债务、兑现上级部门督查整改资金、偿还以前年度欠款等因素影响，财政支出压力加大，收支矛盾仍然突出。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对此，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县财政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高度重视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积极采取措施加以解决。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重点做好以下几方面工作：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25"/>
        </w:pBdr>
        <w:tabs>
          <w:tab w:val="left" w:pos="8050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highlight w:val="none"/>
          <w:lang w:bidi="ar"/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</w:rPr>
        <w:t>围绕收入目标精准谋划，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培育壮大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</w:rPr>
        <w:t>财源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建设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依托清洁能源产业和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县域重点产业发展方向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做好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招商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引资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工作，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支持和配合各个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重点项目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落地见效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逐步壮大县域经济主导产业，形成新的税收增长点。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进一步挖掘增收潜能，定期开展收入调度，加强各部门间的沟通合作，及时掌握费源费基，解决重点项目推进中的难点和堵点，尽早形成收入。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强化财政金融协同联动，夯实税源基础，利用金融工具助推县域经济发展。多渠道盘活闲置资金资产，增强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造血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功能，实现财政增收。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25"/>
        </w:pBdr>
        <w:tabs>
          <w:tab w:val="left" w:pos="8050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压减非急需非刚性支出，</w:t>
      </w: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</w:rPr>
        <w:t>提高人民生活品质。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从严从紧控制预算，压减一般性支出，杜绝不必要支出，突出保民生、保运转、保稳定，切实提高财政资金使用效益。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聚焦县域发展大局，集中财力办大事，在保证教育、卫生、社会保障足额投入的前提下，加大对实体经济、生态环境、乡村振兴、城市建设的资金投入力度，不断增进民生福祉。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突出直达资金作用，及时分配各类直达资金，推动资金高效精准安全直达到群众希望、企业期盼的方向和领域。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以优化营商环境为抓手，进一步提升服务质量，持续加大政府采购意向公开，拓宽政府采购意向范围。全面落实落细各项惠企利民政策，确保政策红利直达市场主体，提振发展信心。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25"/>
        </w:pBdr>
        <w:tabs>
          <w:tab w:val="left" w:pos="8050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（三）财政管理水平提标提质，防范化解各类风险。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加强预算执行管理工作，严格预算穿透式监管，精准掌控资金使用，科学保障重点支出，确保财政收支运行平稳。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强化债务闭环管理，推进债务重组、置换工作，优化债务结构，降低债务成本，缓释债务风险。</w:t>
      </w:r>
      <w:r>
        <w:rPr>
          <w:rFonts w:hint="default" w:ascii="Times New Roman" w:hAnsi="Times New Roman" w:eastAsia="仿宋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bidi="ar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bidi="ar"/>
        </w:rPr>
        <w:t>加强公开系统平台建设，严格执行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highlight w:val="none"/>
          <w:lang w:bidi="ar"/>
        </w:rPr>
        <w:t>信息公开制度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bidi="ar"/>
        </w:rPr>
        <w:t>，依法公开财政相关信息，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主动接受人大和社会监督，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bidi="ar"/>
        </w:rPr>
        <w:t>密切关注社会舆情，坚决堵塞监管漏洞。</w:t>
      </w:r>
      <w:r>
        <w:rPr>
          <w:rFonts w:hint="default" w:ascii="Times New Roman" w:hAnsi="Times New Roman" w:eastAsia="仿宋_GB2312" w:cs="Times New Roman"/>
          <w:b/>
          <w:bCs w:val="0"/>
          <w:kern w:val="15"/>
          <w:sz w:val="32"/>
          <w:szCs w:val="32"/>
          <w:highlight w:val="none"/>
          <w:lang w:val="en-US" w:eastAsia="zh-CN" w:bidi="ar"/>
        </w:rPr>
        <w:t>四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highlight w:val="none"/>
          <w:lang w:bidi="ar"/>
        </w:rPr>
        <w:t>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强化财政资金绩效管理水平，通过全程监管、结果运用、闭环整改的管理机制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 w:bidi="ar"/>
        </w:rPr>
        <w:t>提高财政资金科学化、精细化管理，不断提高财政资金使用效益，削减或取消低效无效资金，一律按规定收回并统筹安排，推动财政资金绩效管理应用实际。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25"/>
        </w:pBdr>
        <w:tabs>
          <w:tab w:val="left" w:pos="8050"/>
          <w:tab w:val="left" w:pos="8100"/>
        </w:tabs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主任、各位副主任、各位委员，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我们将认真落实本次会议审查意见，扎实做好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财政工作，自觉接受</w:t>
      </w:r>
      <w:r>
        <w:rPr>
          <w:rFonts w:hint="default" w:ascii="Times New Roman" w:hAnsi="Times New Roman" w:eastAsia="仿宋" w:cs="Times New Roman"/>
          <w:sz w:val="32"/>
          <w:szCs w:val="32"/>
        </w:rPr>
        <w:t>县人大及其常委会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监督，坚持稳中求进的工作总基调，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充分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发挥</w:t>
      </w:r>
      <w:r>
        <w:rPr>
          <w:rFonts w:hint="default" w:ascii="Times New Roman" w:hAnsi="Times New Roman" w:eastAsia="仿宋_GB2312" w:cs="Times New Roman"/>
          <w:sz w:val="32"/>
          <w:highlight w:val="none"/>
          <w:lang w:val="en-US" w:eastAsia="zh-CN"/>
        </w:rPr>
        <w:t>财政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职能作用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为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推动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康平高质量发展、新时代振兴</w:t>
      </w:r>
      <w:r>
        <w:rPr>
          <w:rFonts w:hint="eastAsia" w:ascii="Times New Roman" w:hAnsi="Times New Roman" w:eastAsia="仿宋_GB2312" w:cs="Times New Roman"/>
          <w:sz w:val="32"/>
          <w:highlight w:val="none"/>
          <w:lang w:eastAsia="zh-CN"/>
        </w:rPr>
        <w:t>积极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贡献财政力量</w:t>
      </w:r>
      <w:r>
        <w:rPr>
          <w:rFonts w:hint="default" w:ascii="Times New Roman" w:hAnsi="Times New Roman" w:eastAsia="仿宋_GB2312" w:cs="Times New Roman"/>
          <w:sz w:val="32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4MWNiNTgxNjkyOTkyNDc1YThlN2MwOWM3OTVkZDEifQ=="/>
  </w:docVars>
  <w:rsids>
    <w:rsidRoot w:val="00000000"/>
    <w:rsid w:val="127607CD"/>
    <w:rsid w:val="17ED08D5"/>
    <w:rsid w:val="1B5D6F74"/>
    <w:rsid w:val="37A75B88"/>
    <w:rsid w:val="3E793D02"/>
    <w:rsid w:val="4B346F3C"/>
    <w:rsid w:val="5D91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eastAsia="仿宋" w:cs="宋体"/>
      <w:sz w:val="32"/>
    </w:rPr>
  </w:style>
  <w:style w:type="paragraph" w:styleId="4">
    <w:name w:val="Body Text Indent"/>
    <w:basedOn w:val="1"/>
    <w:next w:val="3"/>
    <w:qFormat/>
    <w:uiPriority w:val="0"/>
    <w:pPr>
      <w:ind w:firstLine="720"/>
    </w:pPr>
    <w:rPr>
      <w:sz w:val="36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4"/>
    <w:next w:val="1"/>
    <w:qFormat/>
    <w:uiPriority w:val="0"/>
    <w:pPr>
      <w:ind w:firstLine="420"/>
    </w:pPr>
    <w:rPr>
      <w:rFonts w:ascii="仿宋_GB2312" w:eastAsia="仿宋_GB2312" w:cs="仿宋_GB2312"/>
      <w:sz w:val="32"/>
      <w:szCs w:val="32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4816</Words>
  <Characters>5592</Characters>
  <Lines>0</Lines>
  <Paragraphs>0</Paragraphs>
  <TotalTime>1</TotalTime>
  <ScaleCrop>false</ScaleCrop>
  <LinksUpToDate>false</LinksUpToDate>
  <CharactersWithSpaces>5592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2022-04-27T06:30:00Z</dcterms:created>
  <dc:creator>Administrator</dc:creator>
  <cp:lastModifiedBy>*畅</cp:lastModifiedBy>
  <dcterms:modified xsi:type="dcterms:W3CDTF">2023-08-14T01:25:47Z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C5EDB2D0422E4828A156CFB7B0A592C9</vt:lpwstr>
  </property>
</Properties>
</file>