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r>
        <w:rPr>
          <w:rFonts w:hint="eastAsia"/>
          <w:b/>
          <w:bCs/>
          <w:sz w:val="44"/>
          <w:szCs w:val="44"/>
          <w:lang w:val="en-US" w:eastAsia="zh-CN"/>
        </w:rPr>
        <w:t>2023年康平县本级涉企行政事业性收费目录清单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9"/>
        <w:gridCol w:w="1200"/>
        <w:gridCol w:w="2329"/>
        <w:gridCol w:w="4036"/>
        <w:gridCol w:w="3760"/>
        <w:gridCol w:w="879"/>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jc w:val="both"/>
              <w:rPr>
                <w:rFonts w:hint="eastAsia"/>
                <w:sz w:val="18"/>
                <w:szCs w:val="18"/>
                <w:vertAlign w:val="baseline"/>
                <w:lang w:val="en-US" w:eastAsia="zh-CN"/>
              </w:rPr>
            </w:pPr>
            <w:r>
              <w:rPr>
                <w:rFonts w:hint="eastAsia"/>
                <w:sz w:val="18"/>
                <w:szCs w:val="18"/>
                <w:vertAlign w:val="baseline"/>
                <w:lang w:val="en-US" w:eastAsia="zh-CN"/>
              </w:rPr>
              <w:t>序号</w:t>
            </w:r>
          </w:p>
        </w:tc>
        <w:tc>
          <w:tcPr>
            <w:tcW w:w="1200" w:type="dxa"/>
            <w:vAlign w:val="center"/>
          </w:tcPr>
          <w:p>
            <w:pPr>
              <w:jc w:val="both"/>
              <w:rPr>
                <w:rFonts w:hint="eastAsia"/>
                <w:sz w:val="18"/>
                <w:szCs w:val="18"/>
                <w:vertAlign w:val="baseline"/>
                <w:lang w:val="en-US" w:eastAsia="zh-CN"/>
              </w:rPr>
            </w:pPr>
            <w:r>
              <w:rPr>
                <w:rFonts w:hint="eastAsia"/>
                <w:sz w:val="18"/>
                <w:szCs w:val="18"/>
                <w:vertAlign w:val="baseline"/>
                <w:lang w:val="en-US" w:eastAsia="zh-CN"/>
              </w:rPr>
              <w:t>主管部门</w:t>
            </w:r>
          </w:p>
        </w:tc>
        <w:tc>
          <w:tcPr>
            <w:tcW w:w="2329" w:type="dxa"/>
            <w:vAlign w:val="center"/>
          </w:tcPr>
          <w:p>
            <w:pPr>
              <w:jc w:val="both"/>
              <w:rPr>
                <w:rFonts w:hint="eastAsia"/>
                <w:sz w:val="18"/>
                <w:szCs w:val="18"/>
                <w:vertAlign w:val="baseline"/>
                <w:lang w:val="en-US" w:eastAsia="zh-CN"/>
              </w:rPr>
            </w:pPr>
            <w:r>
              <w:rPr>
                <w:rFonts w:hint="eastAsia"/>
                <w:sz w:val="18"/>
                <w:szCs w:val="18"/>
                <w:vertAlign w:val="baseline"/>
                <w:lang w:val="en-US" w:eastAsia="zh-CN"/>
              </w:rPr>
              <w:t>收费项目</w:t>
            </w:r>
          </w:p>
        </w:tc>
        <w:tc>
          <w:tcPr>
            <w:tcW w:w="4036" w:type="dxa"/>
            <w:vAlign w:val="center"/>
          </w:tcPr>
          <w:p>
            <w:pPr>
              <w:jc w:val="both"/>
              <w:rPr>
                <w:rFonts w:hint="eastAsia"/>
                <w:sz w:val="18"/>
                <w:szCs w:val="18"/>
                <w:vertAlign w:val="baseline"/>
                <w:lang w:val="en-US" w:eastAsia="zh-CN"/>
              </w:rPr>
            </w:pPr>
            <w:r>
              <w:rPr>
                <w:rFonts w:hint="eastAsia"/>
                <w:sz w:val="18"/>
                <w:szCs w:val="18"/>
                <w:vertAlign w:val="baseline"/>
                <w:lang w:val="en-US" w:eastAsia="zh-CN"/>
              </w:rPr>
              <w:t>收费标准</w:t>
            </w:r>
          </w:p>
        </w:tc>
        <w:tc>
          <w:tcPr>
            <w:tcW w:w="3760" w:type="dxa"/>
            <w:vAlign w:val="center"/>
          </w:tcPr>
          <w:p>
            <w:pPr>
              <w:jc w:val="both"/>
              <w:rPr>
                <w:rFonts w:hint="eastAsia"/>
                <w:sz w:val="18"/>
                <w:szCs w:val="18"/>
                <w:vertAlign w:val="baseline"/>
                <w:lang w:val="en-US" w:eastAsia="zh-CN"/>
              </w:rPr>
            </w:pPr>
            <w:r>
              <w:rPr>
                <w:rFonts w:hint="eastAsia"/>
                <w:sz w:val="18"/>
                <w:szCs w:val="18"/>
                <w:vertAlign w:val="baseline"/>
                <w:lang w:val="en-US" w:eastAsia="zh-CN"/>
              </w:rPr>
              <w:t>政策依据</w:t>
            </w:r>
          </w:p>
        </w:tc>
        <w:tc>
          <w:tcPr>
            <w:tcW w:w="879" w:type="dxa"/>
            <w:vAlign w:val="center"/>
          </w:tcPr>
          <w:p>
            <w:pPr>
              <w:jc w:val="both"/>
              <w:rPr>
                <w:rFonts w:hint="eastAsia"/>
                <w:sz w:val="18"/>
                <w:szCs w:val="18"/>
                <w:vertAlign w:val="baseline"/>
                <w:lang w:val="en-US" w:eastAsia="zh-CN"/>
              </w:rPr>
            </w:pPr>
            <w:r>
              <w:rPr>
                <w:rFonts w:hint="eastAsia"/>
                <w:sz w:val="18"/>
                <w:szCs w:val="18"/>
                <w:vertAlign w:val="baseline"/>
                <w:lang w:val="en-US" w:eastAsia="zh-CN"/>
              </w:rPr>
              <w:t>立项</w:t>
            </w:r>
          </w:p>
          <w:p>
            <w:pPr>
              <w:jc w:val="both"/>
              <w:rPr>
                <w:rFonts w:hint="eastAsia"/>
                <w:sz w:val="18"/>
                <w:szCs w:val="18"/>
                <w:vertAlign w:val="baseline"/>
                <w:lang w:val="en-US" w:eastAsia="zh-CN"/>
              </w:rPr>
            </w:pPr>
            <w:r>
              <w:rPr>
                <w:rFonts w:hint="eastAsia"/>
                <w:sz w:val="18"/>
                <w:szCs w:val="18"/>
                <w:vertAlign w:val="baseline"/>
                <w:lang w:val="en-US" w:eastAsia="zh-CN"/>
              </w:rPr>
              <w:t>级次</w:t>
            </w:r>
          </w:p>
        </w:tc>
        <w:tc>
          <w:tcPr>
            <w:tcW w:w="1241" w:type="dxa"/>
            <w:vAlign w:val="center"/>
          </w:tcPr>
          <w:p>
            <w:pPr>
              <w:jc w:val="both"/>
              <w:rPr>
                <w:rFonts w:hint="eastAsia"/>
                <w:sz w:val="18"/>
                <w:szCs w:val="18"/>
                <w:vertAlign w:val="baseline"/>
                <w:lang w:val="en-US" w:eastAsia="zh-CN"/>
              </w:rPr>
            </w:pPr>
            <w:r>
              <w:rPr>
                <w:rFonts w:hint="eastAsia"/>
                <w:sz w:val="18"/>
                <w:szCs w:val="18"/>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Merge w:val="restart"/>
            <w:vAlign w:val="center"/>
          </w:tcPr>
          <w:p>
            <w:pPr>
              <w:jc w:val="both"/>
              <w:rPr>
                <w:rFonts w:hint="eastAsia"/>
                <w:sz w:val="18"/>
                <w:szCs w:val="18"/>
                <w:vertAlign w:val="baseline"/>
                <w:lang w:val="en-US" w:eastAsia="zh-CN"/>
              </w:rPr>
            </w:pPr>
            <w:r>
              <w:rPr>
                <w:rFonts w:hint="eastAsia"/>
                <w:sz w:val="18"/>
                <w:szCs w:val="18"/>
                <w:vertAlign w:val="baseline"/>
                <w:lang w:val="en-US" w:eastAsia="zh-CN"/>
              </w:rPr>
              <w:t>一</w:t>
            </w:r>
          </w:p>
        </w:tc>
        <w:tc>
          <w:tcPr>
            <w:tcW w:w="1200" w:type="dxa"/>
            <w:vMerge w:val="restart"/>
            <w:vAlign w:val="center"/>
          </w:tcPr>
          <w:p>
            <w:pPr>
              <w:jc w:val="both"/>
              <w:rPr>
                <w:rFonts w:hint="eastAsia"/>
                <w:sz w:val="18"/>
                <w:szCs w:val="18"/>
                <w:vertAlign w:val="baseline"/>
                <w:lang w:val="en-US" w:eastAsia="zh-CN"/>
              </w:rPr>
            </w:pPr>
            <w:r>
              <w:rPr>
                <w:rFonts w:hint="eastAsia"/>
                <w:sz w:val="18"/>
                <w:szCs w:val="18"/>
                <w:vertAlign w:val="baseline"/>
                <w:lang w:val="en-US" w:eastAsia="zh-CN"/>
              </w:rPr>
              <w:t>公安</w:t>
            </w:r>
          </w:p>
        </w:tc>
        <w:tc>
          <w:tcPr>
            <w:tcW w:w="2329"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1、证照费（机动车牌、证收费）</w:t>
            </w:r>
          </w:p>
        </w:tc>
        <w:tc>
          <w:tcPr>
            <w:tcW w:w="4036" w:type="dxa"/>
            <w:vAlign w:val="center"/>
          </w:tcPr>
          <w:p>
            <w:pPr>
              <w:jc w:val="both"/>
              <w:rPr>
                <w:rFonts w:hint="eastAsia"/>
                <w:sz w:val="18"/>
                <w:szCs w:val="18"/>
                <w:vertAlign w:val="baseline"/>
                <w:lang w:val="en-US" w:eastAsia="zh-CN"/>
              </w:rPr>
            </w:pPr>
          </w:p>
        </w:tc>
        <w:tc>
          <w:tcPr>
            <w:tcW w:w="3760" w:type="dxa"/>
            <w:vAlign w:val="center"/>
          </w:tcPr>
          <w:p>
            <w:pPr>
              <w:jc w:val="both"/>
              <w:rPr>
                <w:rFonts w:hint="eastAsia"/>
                <w:sz w:val="18"/>
                <w:szCs w:val="18"/>
                <w:vertAlign w:val="baseline"/>
                <w:lang w:val="en-US" w:eastAsia="zh-CN"/>
              </w:rPr>
            </w:pPr>
          </w:p>
        </w:tc>
        <w:tc>
          <w:tcPr>
            <w:tcW w:w="879" w:type="dxa"/>
            <w:vMerge w:val="restart"/>
            <w:vAlign w:val="center"/>
          </w:tcPr>
          <w:p>
            <w:pPr>
              <w:jc w:val="both"/>
              <w:rPr>
                <w:rFonts w:hint="eastAsia"/>
                <w:sz w:val="18"/>
                <w:szCs w:val="18"/>
                <w:vertAlign w:val="baseline"/>
                <w:lang w:val="en-US" w:eastAsia="zh-CN"/>
              </w:rPr>
            </w:pPr>
            <w:r>
              <w:rPr>
                <w:rFonts w:hint="eastAsia"/>
                <w:sz w:val="18"/>
                <w:szCs w:val="18"/>
                <w:vertAlign w:val="baseline"/>
                <w:lang w:val="en-US" w:eastAsia="zh-CN"/>
              </w:rPr>
              <w:t>中央</w:t>
            </w:r>
          </w:p>
        </w:tc>
        <w:tc>
          <w:tcPr>
            <w:tcW w:w="1241"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87335803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Merge w:val="continue"/>
            <w:vAlign w:val="center"/>
          </w:tcPr>
          <w:p>
            <w:pPr>
              <w:jc w:val="both"/>
              <w:rPr>
                <w:rFonts w:hint="eastAsia"/>
                <w:sz w:val="18"/>
                <w:szCs w:val="18"/>
                <w:vertAlign w:val="baseline"/>
                <w:lang w:val="en-US" w:eastAsia="zh-CN"/>
              </w:rPr>
            </w:pPr>
          </w:p>
        </w:tc>
        <w:tc>
          <w:tcPr>
            <w:tcW w:w="1200" w:type="dxa"/>
            <w:vMerge w:val="continue"/>
            <w:vAlign w:val="center"/>
          </w:tcPr>
          <w:p>
            <w:pPr>
              <w:jc w:val="both"/>
              <w:rPr>
                <w:rFonts w:hint="eastAsia"/>
                <w:sz w:val="18"/>
                <w:szCs w:val="18"/>
                <w:vertAlign w:val="baseline"/>
                <w:lang w:val="en-US" w:eastAsia="zh-CN"/>
              </w:rPr>
            </w:pPr>
          </w:p>
        </w:tc>
        <w:tc>
          <w:tcPr>
            <w:tcW w:w="2329"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（1）机动车辆号牌证工本费</w:t>
            </w:r>
          </w:p>
        </w:tc>
        <w:tc>
          <w:tcPr>
            <w:tcW w:w="4036"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汽车反光100元/副；临时5元/张；挂车反光每副50元；三轮汽车、低速货车、拖拉机反光每副40元；摩托车反光每副35元。</w:t>
            </w:r>
          </w:p>
        </w:tc>
        <w:tc>
          <w:tcPr>
            <w:tcW w:w="3760"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发改价格[2004]2831号，发改价格规[2019]1931号。</w:t>
            </w:r>
          </w:p>
        </w:tc>
        <w:tc>
          <w:tcPr>
            <w:tcW w:w="879" w:type="dxa"/>
            <w:vMerge w:val="continue"/>
            <w:vAlign w:val="center"/>
          </w:tcPr>
          <w:p>
            <w:pPr>
              <w:jc w:val="both"/>
              <w:rPr>
                <w:rFonts w:hint="eastAsia"/>
                <w:sz w:val="18"/>
                <w:szCs w:val="18"/>
                <w:vertAlign w:val="baseline"/>
                <w:lang w:val="en-US" w:eastAsia="zh-CN"/>
              </w:rPr>
            </w:pPr>
          </w:p>
        </w:tc>
        <w:tc>
          <w:tcPr>
            <w:tcW w:w="1241" w:type="dxa"/>
            <w:vAlign w:val="center"/>
          </w:tcPr>
          <w:p>
            <w:pPr>
              <w:jc w:val="both"/>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87335803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Merge w:val="continue"/>
            <w:vAlign w:val="center"/>
          </w:tcPr>
          <w:p>
            <w:pPr>
              <w:jc w:val="both"/>
              <w:rPr>
                <w:rFonts w:hint="eastAsia"/>
                <w:sz w:val="18"/>
                <w:szCs w:val="18"/>
                <w:vertAlign w:val="baseline"/>
                <w:lang w:val="en-US" w:eastAsia="zh-CN"/>
              </w:rPr>
            </w:pPr>
          </w:p>
        </w:tc>
        <w:tc>
          <w:tcPr>
            <w:tcW w:w="1200" w:type="dxa"/>
            <w:vMerge w:val="continue"/>
            <w:vAlign w:val="center"/>
          </w:tcPr>
          <w:p>
            <w:pPr>
              <w:jc w:val="both"/>
              <w:rPr>
                <w:rFonts w:hint="eastAsia"/>
                <w:sz w:val="18"/>
                <w:szCs w:val="18"/>
                <w:vertAlign w:val="baseline"/>
                <w:lang w:val="en-US" w:eastAsia="zh-CN"/>
              </w:rPr>
            </w:pPr>
          </w:p>
        </w:tc>
        <w:tc>
          <w:tcPr>
            <w:tcW w:w="2329"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（2）机动车行驶证、登记证工本费</w:t>
            </w:r>
          </w:p>
        </w:tc>
        <w:tc>
          <w:tcPr>
            <w:tcW w:w="4036"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行政证工本费10元/本；临时行驶证工本费10元/本；登记证10元/本</w:t>
            </w:r>
          </w:p>
        </w:tc>
        <w:tc>
          <w:tcPr>
            <w:tcW w:w="3760"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发改价格[2004]2831号，发改价格[2017]1186号。</w:t>
            </w:r>
          </w:p>
        </w:tc>
        <w:tc>
          <w:tcPr>
            <w:tcW w:w="879" w:type="dxa"/>
            <w:vAlign w:val="center"/>
          </w:tcPr>
          <w:p>
            <w:pPr>
              <w:jc w:val="both"/>
              <w:rPr>
                <w:rFonts w:hint="eastAsia"/>
                <w:sz w:val="18"/>
                <w:szCs w:val="18"/>
                <w:vertAlign w:val="baseline"/>
                <w:lang w:val="en-US" w:eastAsia="zh-CN"/>
              </w:rPr>
            </w:pPr>
            <w:r>
              <w:rPr>
                <w:rFonts w:hint="eastAsia"/>
                <w:sz w:val="18"/>
                <w:szCs w:val="18"/>
                <w:vertAlign w:val="baseline"/>
                <w:lang w:val="en-US" w:eastAsia="zh-CN"/>
              </w:rPr>
              <w:t>中央</w:t>
            </w:r>
          </w:p>
        </w:tc>
        <w:tc>
          <w:tcPr>
            <w:tcW w:w="1241" w:type="dxa"/>
            <w:vAlign w:val="center"/>
          </w:tcPr>
          <w:p>
            <w:pPr>
              <w:jc w:val="both"/>
              <w:rPr>
                <w:rFonts w:hint="eastAsia"/>
                <w:sz w:val="18"/>
                <w:szCs w:val="18"/>
                <w:vertAlign w:val="baseline"/>
                <w:lang w:val="en-US" w:eastAsia="zh-CN"/>
              </w:rPr>
            </w:pPr>
            <w:r>
              <w:rPr>
                <w:rFonts w:hint="eastAsia"/>
                <w:sz w:val="18"/>
                <w:szCs w:val="18"/>
                <w:vertAlign w:val="baseline"/>
                <w:lang w:val="en-US" w:eastAsia="zh-CN"/>
              </w:rPr>
              <w:t>87335803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Merge w:val="continue"/>
            <w:vAlign w:val="center"/>
          </w:tcPr>
          <w:p>
            <w:pPr>
              <w:jc w:val="both"/>
              <w:rPr>
                <w:rFonts w:hint="eastAsia"/>
                <w:sz w:val="18"/>
                <w:szCs w:val="18"/>
                <w:vertAlign w:val="baseline"/>
                <w:lang w:val="en-US" w:eastAsia="zh-CN"/>
              </w:rPr>
            </w:pPr>
          </w:p>
        </w:tc>
        <w:tc>
          <w:tcPr>
            <w:tcW w:w="1200" w:type="dxa"/>
            <w:vMerge w:val="continue"/>
            <w:vAlign w:val="center"/>
          </w:tcPr>
          <w:p>
            <w:pPr>
              <w:jc w:val="both"/>
              <w:rPr>
                <w:rFonts w:hint="eastAsia"/>
                <w:sz w:val="18"/>
                <w:szCs w:val="18"/>
                <w:vertAlign w:val="baseline"/>
                <w:lang w:val="en-US" w:eastAsia="zh-CN"/>
              </w:rPr>
            </w:pPr>
          </w:p>
        </w:tc>
        <w:tc>
          <w:tcPr>
            <w:tcW w:w="2329"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（3）临时入境机动车号牌和行驶证工本费</w:t>
            </w:r>
          </w:p>
        </w:tc>
        <w:tc>
          <w:tcPr>
            <w:tcW w:w="4036"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临时入境机动车号牌和行驶证10元/证</w:t>
            </w:r>
          </w:p>
        </w:tc>
        <w:tc>
          <w:tcPr>
            <w:tcW w:w="3760"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财综[2008]36号，辽财非[2008]399号，发改价格[2017]1186号</w:t>
            </w:r>
          </w:p>
        </w:tc>
        <w:tc>
          <w:tcPr>
            <w:tcW w:w="879" w:type="dxa"/>
            <w:vAlign w:val="center"/>
          </w:tcPr>
          <w:p>
            <w:pPr>
              <w:jc w:val="both"/>
              <w:rPr>
                <w:rFonts w:hint="eastAsia"/>
                <w:sz w:val="18"/>
                <w:szCs w:val="18"/>
                <w:vertAlign w:val="baseline"/>
                <w:lang w:val="en-US" w:eastAsia="zh-CN"/>
              </w:rPr>
            </w:pPr>
            <w:r>
              <w:rPr>
                <w:rFonts w:hint="eastAsia"/>
                <w:sz w:val="18"/>
                <w:szCs w:val="18"/>
                <w:vertAlign w:val="baseline"/>
                <w:lang w:val="en-US" w:eastAsia="zh-CN"/>
              </w:rPr>
              <w:t>中央</w:t>
            </w:r>
          </w:p>
        </w:tc>
        <w:tc>
          <w:tcPr>
            <w:tcW w:w="1241" w:type="dxa"/>
            <w:vAlign w:val="center"/>
          </w:tcPr>
          <w:p>
            <w:pPr>
              <w:jc w:val="both"/>
              <w:rPr>
                <w:rFonts w:hint="eastAsia"/>
                <w:sz w:val="18"/>
                <w:szCs w:val="18"/>
                <w:vertAlign w:val="baseline"/>
                <w:lang w:val="en-US" w:eastAsia="zh-CN"/>
              </w:rPr>
            </w:pPr>
            <w:r>
              <w:rPr>
                <w:rFonts w:hint="eastAsia"/>
                <w:sz w:val="18"/>
                <w:szCs w:val="18"/>
                <w:vertAlign w:val="baseline"/>
                <w:lang w:val="en-US" w:eastAsia="zh-CN"/>
              </w:rPr>
              <w:t>87335803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jc w:val="both"/>
              <w:rPr>
                <w:rFonts w:hint="eastAsia"/>
                <w:sz w:val="18"/>
                <w:szCs w:val="18"/>
                <w:vertAlign w:val="baseline"/>
                <w:lang w:val="en-US" w:eastAsia="zh-CN"/>
              </w:rPr>
            </w:pPr>
            <w:r>
              <w:rPr>
                <w:rFonts w:hint="eastAsia"/>
                <w:sz w:val="18"/>
                <w:szCs w:val="18"/>
                <w:vertAlign w:val="baseline"/>
                <w:lang w:val="en-US" w:eastAsia="zh-CN"/>
              </w:rPr>
              <w:t>二</w:t>
            </w:r>
          </w:p>
        </w:tc>
        <w:tc>
          <w:tcPr>
            <w:tcW w:w="1200" w:type="dxa"/>
            <w:vAlign w:val="center"/>
          </w:tcPr>
          <w:p>
            <w:pPr>
              <w:jc w:val="both"/>
              <w:rPr>
                <w:rFonts w:hint="eastAsia"/>
                <w:sz w:val="18"/>
                <w:szCs w:val="18"/>
                <w:vertAlign w:val="baseline"/>
                <w:lang w:val="en-US" w:eastAsia="zh-CN"/>
              </w:rPr>
            </w:pPr>
            <w:r>
              <w:rPr>
                <w:rFonts w:hint="eastAsia"/>
                <w:sz w:val="18"/>
                <w:szCs w:val="18"/>
                <w:vertAlign w:val="baseline"/>
                <w:lang w:val="en-US" w:eastAsia="zh-CN"/>
              </w:rPr>
              <w:t>法院</w:t>
            </w:r>
          </w:p>
        </w:tc>
        <w:tc>
          <w:tcPr>
            <w:tcW w:w="2329" w:type="dxa"/>
            <w:vAlign w:val="center"/>
          </w:tcPr>
          <w:p>
            <w:pPr>
              <w:jc w:val="both"/>
              <w:rPr>
                <w:rFonts w:hint="eastAsia"/>
                <w:sz w:val="18"/>
                <w:szCs w:val="18"/>
                <w:vertAlign w:val="baseline"/>
                <w:lang w:val="en-US" w:eastAsia="zh-CN"/>
              </w:rPr>
            </w:pPr>
            <w:r>
              <w:rPr>
                <w:rFonts w:hint="eastAsia"/>
                <w:sz w:val="18"/>
                <w:szCs w:val="18"/>
                <w:vertAlign w:val="baseline"/>
                <w:lang w:val="en-US" w:eastAsia="zh-CN"/>
              </w:rPr>
              <w:t>2、诉讼费</w:t>
            </w:r>
          </w:p>
        </w:tc>
        <w:tc>
          <w:tcPr>
            <w:tcW w:w="4036" w:type="dxa"/>
            <w:vAlign w:val="center"/>
          </w:tcPr>
          <w:p>
            <w:pPr>
              <w:jc w:val="both"/>
              <w:rPr>
                <w:rFonts w:hint="eastAsia"/>
                <w:sz w:val="18"/>
                <w:szCs w:val="18"/>
                <w:vertAlign w:val="baseline"/>
                <w:lang w:val="en-US" w:eastAsia="zh-CN"/>
              </w:rPr>
            </w:pPr>
            <w:r>
              <w:rPr>
                <w:rFonts w:hint="eastAsia"/>
                <w:sz w:val="18"/>
                <w:szCs w:val="18"/>
                <w:vertAlign w:val="baseline"/>
                <w:lang w:val="en-US" w:eastAsia="zh-CN"/>
              </w:rPr>
              <w:t>按照《诉讼费用交纳办法》执行</w:t>
            </w:r>
          </w:p>
        </w:tc>
        <w:tc>
          <w:tcPr>
            <w:tcW w:w="3760"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《民事诉讼法》，《行政诉讼法》，财预[2002]9号，财行[2003]275号，《诉讼费用交纳办法》（国务院令第481号），辽财预[2002]77号，辽财行[2007]852号</w:t>
            </w:r>
          </w:p>
        </w:tc>
        <w:tc>
          <w:tcPr>
            <w:tcW w:w="879" w:type="dxa"/>
            <w:vAlign w:val="center"/>
          </w:tcPr>
          <w:p>
            <w:pPr>
              <w:jc w:val="both"/>
              <w:rPr>
                <w:rFonts w:hint="eastAsia"/>
                <w:sz w:val="18"/>
                <w:szCs w:val="18"/>
                <w:vertAlign w:val="baseline"/>
                <w:lang w:val="en-US" w:eastAsia="zh-CN"/>
              </w:rPr>
            </w:pPr>
            <w:r>
              <w:rPr>
                <w:rFonts w:hint="eastAsia"/>
                <w:sz w:val="18"/>
                <w:szCs w:val="18"/>
                <w:vertAlign w:val="baseline"/>
                <w:lang w:val="en-US" w:eastAsia="zh-CN"/>
              </w:rPr>
              <w:t>中央</w:t>
            </w:r>
          </w:p>
        </w:tc>
        <w:tc>
          <w:tcPr>
            <w:tcW w:w="1241" w:type="dxa"/>
            <w:vAlign w:val="center"/>
          </w:tcPr>
          <w:p>
            <w:pPr>
              <w:jc w:val="both"/>
              <w:rPr>
                <w:rFonts w:hint="eastAsia"/>
                <w:sz w:val="18"/>
                <w:szCs w:val="18"/>
                <w:vertAlign w:val="baseline"/>
                <w:lang w:val="en-US" w:eastAsia="zh-CN"/>
              </w:rPr>
            </w:pPr>
            <w:r>
              <w:rPr>
                <w:rFonts w:hint="eastAsia"/>
                <w:sz w:val="18"/>
                <w:szCs w:val="18"/>
                <w:vertAlign w:val="baseline"/>
                <w:lang w:val="en-US" w:eastAsia="zh-CN"/>
              </w:rPr>
              <w:t>87335803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jc w:val="both"/>
              <w:rPr>
                <w:rFonts w:hint="eastAsia"/>
                <w:sz w:val="18"/>
                <w:szCs w:val="18"/>
                <w:vertAlign w:val="baseline"/>
                <w:lang w:val="en-US" w:eastAsia="zh-CN"/>
              </w:rPr>
            </w:pPr>
            <w:r>
              <w:rPr>
                <w:rFonts w:hint="eastAsia"/>
                <w:sz w:val="18"/>
                <w:szCs w:val="18"/>
                <w:vertAlign w:val="baseline"/>
                <w:lang w:val="en-US" w:eastAsia="zh-CN"/>
              </w:rPr>
              <w:t>三</w:t>
            </w:r>
          </w:p>
        </w:tc>
        <w:tc>
          <w:tcPr>
            <w:tcW w:w="1200" w:type="dxa"/>
            <w:vAlign w:val="center"/>
          </w:tcPr>
          <w:p>
            <w:pPr>
              <w:jc w:val="both"/>
              <w:rPr>
                <w:rFonts w:hint="eastAsia"/>
                <w:sz w:val="18"/>
                <w:szCs w:val="18"/>
                <w:vertAlign w:val="baseline"/>
                <w:lang w:val="en-US" w:eastAsia="zh-CN"/>
              </w:rPr>
            </w:pPr>
            <w:r>
              <w:rPr>
                <w:rFonts w:hint="eastAsia"/>
                <w:sz w:val="18"/>
                <w:szCs w:val="18"/>
                <w:vertAlign w:val="baseline"/>
                <w:lang w:val="en-US" w:eastAsia="zh-CN"/>
              </w:rPr>
              <w:t>人防</w:t>
            </w:r>
          </w:p>
        </w:tc>
        <w:tc>
          <w:tcPr>
            <w:tcW w:w="2329"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3、防空地下室易地建设费</w:t>
            </w:r>
          </w:p>
        </w:tc>
        <w:tc>
          <w:tcPr>
            <w:tcW w:w="4036" w:type="dxa"/>
            <w:vAlign w:val="center"/>
          </w:tcPr>
          <w:p>
            <w:pPr>
              <w:jc w:val="both"/>
              <w:rPr>
                <w:rFonts w:hint="eastAsia"/>
                <w:sz w:val="18"/>
                <w:szCs w:val="18"/>
                <w:vertAlign w:val="baseline"/>
                <w:lang w:val="en-US" w:eastAsia="zh-CN"/>
              </w:rPr>
            </w:pPr>
            <w:r>
              <w:rPr>
                <w:rFonts w:hint="eastAsia"/>
                <w:sz w:val="18"/>
                <w:szCs w:val="18"/>
                <w:vertAlign w:val="baseline"/>
                <w:lang w:val="en-US" w:eastAsia="zh-CN"/>
              </w:rPr>
              <w:t>沈价发[2010]62号规定：按应建防空地下室建筑面积：县级市和县1000元/平方米，其它地区2000元/平方米，九层以下民用建筑不建防空地下室的，按地面总建筑面积缴纳；县级市及县20元/平方米，其他地区40元/平方米。</w:t>
            </w:r>
          </w:p>
          <w:p>
            <w:pPr>
              <w:jc w:val="both"/>
              <w:rPr>
                <w:rFonts w:hint="eastAsia"/>
                <w:sz w:val="18"/>
                <w:szCs w:val="18"/>
                <w:vertAlign w:val="baseline"/>
                <w:lang w:val="en-US" w:eastAsia="zh-CN"/>
              </w:rPr>
            </w:pPr>
            <w:r>
              <w:rPr>
                <w:rFonts w:hint="eastAsia"/>
                <w:sz w:val="18"/>
                <w:szCs w:val="18"/>
                <w:vertAlign w:val="baseline"/>
                <w:lang w:val="en-US" w:eastAsia="zh-CN"/>
              </w:rPr>
              <w:t>辽价发[2018]55号、沈发改发[2018]141号规定：自2018年10月1日起，将人防工程易地建设费缴纳标准在原有标准的基础上降低15%。</w:t>
            </w:r>
          </w:p>
          <w:p>
            <w:pPr>
              <w:jc w:val="both"/>
              <w:rPr>
                <w:rFonts w:hint="default"/>
                <w:sz w:val="18"/>
                <w:szCs w:val="18"/>
                <w:vertAlign w:val="baseline"/>
                <w:lang w:val="en-US" w:eastAsia="zh-CN"/>
              </w:rPr>
            </w:pPr>
            <w:r>
              <w:rPr>
                <w:rFonts w:hint="eastAsia"/>
                <w:sz w:val="18"/>
                <w:szCs w:val="18"/>
                <w:vertAlign w:val="baseline"/>
                <w:lang w:val="en-US" w:eastAsia="zh-CN"/>
              </w:rPr>
              <w:t>以下新建民用建筑项目应适当减免：1、享受政府优惠政策建设的廉租房，经济适用房等居民住房，新建幼儿园，学校教学楼，养老院及为残疾人修建的生活服务设施等民用建筑减半收取。2、临时民用建筑和不增加面积的危房翻新改造商品住宅项目，因遭受水灾、火灾或其他不可抗拒的灾害造成损坏后按原面积修复的民用建筑免收。</w:t>
            </w:r>
          </w:p>
        </w:tc>
        <w:tc>
          <w:tcPr>
            <w:tcW w:w="3760"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国动字[1998]2号，国动字[1999]1号，计价格[2000]474号，中发[2001]9号，财预[2002]584号，国发[2008]4号，辽人发[2000]19号，辽价发[2001]72号，省政府令第49号，辽财预[2002]632号，辽财非[2010]1127号，辽财非函[2013]256号，辽财非函[2015]267号，辽价发[2018]55号，按财综[2010]57号，对中小学校“校舍安全工程”免征。国办发[2013]103号，按财税[2014]77号，对非营利性养老和医疗机构免征，对营利性养老和医疗机构减半征收，按财税[2019]53号，对确因地质条件等原因无法修建防空地下室的易地扶贫搬迁项目免征，按公告[2019]76号，对用于提供社区养老，托育，家政服务的建设项目免征，按沈房发[2014]41号，对保障性住房免收，按财税[2020]58号，辽财税[2020]383号，2021年1月1日起，划转至税务部门征收。</w:t>
            </w:r>
          </w:p>
        </w:tc>
        <w:tc>
          <w:tcPr>
            <w:tcW w:w="879" w:type="dxa"/>
            <w:vAlign w:val="center"/>
          </w:tcPr>
          <w:p>
            <w:pPr>
              <w:jc w:val="both"/>
              <w:rPr>
                <w:rFonts w:hint="eastAsia"/>
                <w:sz w:val="18"/>
                <w:szCs w:val="18"/>
                <w:vertAlign w:val="baseline"/>
                <w:lang w:val="en-US" w:eastAsia="zh-CN"/>
              </w:rPr>
            </w:pPr>
            <w:r>
              <w:rPr>
                <w:rFonts w:hint="eastAsia"/>
                <w:sz w:val="18"/>
                <w:szCs w:val="18"/>
                <w:vertAlign w:val="baseline"/>
                <w:lang w:val="en-US" w:eastAsia="zh-CN"/>
              </w:rPr>
              <w:t>中央</w:t>
            </w:r>
          </w:p>
        </w:tc>
        <w:tc>
          <w:tcPr>
            <w:tcW w:w="1241" w:type="dxa"/>
            <w:vAlign w:val="center"/>
          </w:tcPr>
          <w:p>
            <w:pPr>
              <w:jc w:val="both"/>
              <w:rPr>
                <w:rFonts w:hint="eastAsia"/>
                <w:sz w:val="18"/>
                <w:szCs w:val="18"/>
                <w:vertAlign w:val="baseline"/>
                <w:lang w:val="en-US" w:eastAsia="zh-CN"/>
              </w:rPr>
            </w:pPr>
            <w:r>
              <w:rPr>
                <w:rFonts w:hint="eastAsia"/>
                <w:sz w:val="18"/>
                <w:szCs w:val="18"/>
                <w:vertAlign w:val="baseline"/>
                <w:lang w:val="en-US" w:eastAsia="zh-CN"/>
              </w:rPr>
              <w:t>87335803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jc w:val="both"/>
              <w:rPr>
                <w:rFonts w:hint="eastAsia"/>
                <w:sz w:val="18"/>
                <w:szCs w:val="18"/>
                <w:vertAlign w:val="baseline"/>
                <w:lang w:val="en-US" w:eastAsia="zh-CN"/>
              </w:rPr>
            </w:pPr>
            <w:r>
              <w:rPr>
                <w:rFonts w:hint="eastAsia"/>
                <w:sz w:val="18"/>
                <w:szCs w:val="18"/>
                <w:vertAlign w:val="baseline"/>
                <w:lang w:val="en-US" w:eastAsia="zh-CN"/>
              </w:rPr>
              <w:t>四</w:t>
            </w:r>
          </w:p>
        </w:tc>
        <w:tc>
          <w:tcPr>
            <w:tcW w:w="1200" w:type="dxa"/>
            <w:vAlign w:val="center"/>
          </w:tcPr>
          <w:p>
            <w:pPr>
              <w:jc w:val="both"/>
              <w:rPr>
                <w:rFonts w:hint="eastAsia"/>
                <w:sz w:val="18"/>
                <w:szCs w:val="18"/>
                <w:vertAlign w:val="baseline"/>
                <w:lang w:val="en-US" w:eastAsia="zh-CN"/>
              </w:rPr>
            </w:pPr>
            <w:r>
              <w:rPr>
                <w:rFonts w:hint="eastAsia"/>
                <w:sz w:val="18"/>
                <w:szCs w:val="18"/>
                <w:vertAlign w:val="baseline"/>
                <w:lang w:val="en-US" w:eastAsia="zh-CN"/>
              </w:rPr>
              <w:t>仲裁</w:t>
            </w:r>
          </w:p>
        </w:tc>
        <w:tc>
          <w:tcPr>
            <w:tcW w:w="2329"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4、仲裁收费</w:t>
            </w:r>
          </w:p>
        </w:tc>
        <w:tc>
          <w:tcPr>
            <w:tcW w:w="4036"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按国办发[1995]44号文件规定标准执行</w:t>
            </w:r>
          </w:p>
        </w:tc>
        <w:tc>
          <w:tcPr>
            <w:tcW w:w="3760" w:type="dxa"/>
            <w:vAlign w:val="center"/>
          </w:tcPr>
          <w:p>
            <w:pPr>
              <w:jc w:val="both"/>
              <w:rPr>
                <w:rFonts w:hint="eastAsia" w:eastAsiaTheme="minorEastAsia"/>
                <w:sz w:val="18"/>
                <w:szCs w:val="18"/>
                <w:vertAlign w:val="baseline"/>
                <w:lang w:val="en-US" w:eastAsia="zh-CN"/>
              </w:rPr>
            </w:pPr>
            <w:r>
              <w:rPr>
                <w:rFonts w:hint="eastAsia"/>
                <w:sz w:val="18"/>
                <w:szCs w:val="18"/>
                <w:vertAlign w:val="baseline"/>
                <w:lang w:val="en-US" w:eastAsia="zh-CN"/>
              </w:rPr>
              <w:t>国办发[1995]44号，财综[2010]19号，辽财非[2010]985。</w:t>
            </w:r>
          </w:p>
        </w:tc>
        <w:tc>
          <w:tcPr>
            <w:tcW w:w="879" w:type="dxa"/>
            <w:vAlign w:val="center"/>
          </w:tcPr>
          <w:p>
            <w:pPr>
              <w:jc w:val="both"/>
              <w:rPr>
                <w:rFonts w:hint="eastAsia"/>
                <w:sz w:val="18"/>
                <w:szCs w:val="18"/>
                <w:vertAlign w:val="baseline"/>
                <w:lang w:val="en-US" w:eastAsia="zh-CN"/>
              </w:rPr>
            </w:pPr>
            <w:r>
              <w:rPr>
                <w:rFonts w:hint="eastAsia"/>
                <w:sz w:val="18"/>
                <w:szCs w:val="18"/>
                <w:vertAlign w:val="baseline"/>
                <w:lang w:val="en-US" w:eastAsia="zh-CN"/>
              </w:rPr>
              <w:t>中央</w:t>
            </w:r>
          </w:p>
        </w:tc>
        <w:tc>
          <w:tcPr>
            <w:tcW w:w="1241" w:type="dxa"/>
            <w:vAlign w:val="center"/>
          </w:tcPr>
          <w:p>
            <w:pPr>
              <w:jc w:val="both"/>
              <w:rPr>
                <w:rFonts w:hint="eastAsia"/>
                <w:sz w:val="18"/>
                <w:szCs w:val="18"/>
                <w:vertAlign w:val="baseline"/>
                <w:lang w:val="en-US" w:eastAsia="zh-CN"/>
              </w:rPr>
            </w:pPr>
            <w:r>
              <w:rPr>
                <w:rFonts w:hint="eastAsia"/>
                <w:sz w:val="18"/>
                <w:szCs w:val="18"/>
                <w:vertAlign w:val="baseline"/>
                <w:lang w:val="en-US" w:eastAsia="zh-CN"/>
              </w:rPr>
              <w:t>87335803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Merge w:val="restart"/>
            <w:vAlign w:val="center"/>
          </w:tcPr>
          <w:p>
            <w:pPr>
              <w:jc w:val="both"/>
              <w:rPr>
                <w:rFonts w:hint="eastAsia"/>
                <w:sz w:val="18"/>
                <w:szCs w:val="18"/>
                <w:vertAlign w:val="baseline"/>
                <w:lang w:val="en-US" w:eastAsia="zh-CN"/>
              </w:rPr>
            </w:pPr>
            <w:r>
              <w:rPr>
                <w:rFonts w:hint="eastAsia"/>
                <w:sz w:val="18"/>
                <w:szCs w:val="18"/>
                <w:vertAlign w:val="baseline"/>
                <w:lang w:val="en-US" w:eastAsia="zh-CN"/>
              </w:rPr>
              <w:t>五</w:t>
            </w:r>
          </w:p>
        </w:tc>
        <w:tc>
          <w:tcPr>
            <w:tcW w:w="1200" w:type="dxa"/>
            <w:vMerge w:val="restart"/>
            <w:vAlign w:val="center"/>
          </w:tcPr>
          <w:p>
            <w:pPr>
              <w:jc w:val="both"/>
              <w:rPr>
                <w:rFonts w:hint="eastAsia"/>
                <w:sz w:val="18"/>
                <w:szCs w:val="18"/>
                <w:vertAlign w:val="baseline"/>
                <w:lang w:val="en-US" w:eastAsia="zh-CN"/>
              </w:rPr>
            </w:pPr>
            <w:r>
              <w:rPr>
                <w:rFonts w:hint="eastAsia"/>
                <w:sz w:val="18"/>
                <w:szCs w:val="18"/>
                <w:vertAlign w:val="baseline"/>
                <w:lang w:val="en-US" w:eastAsia="zh-CN"/>
              </w:rPr>
              <w:t>自然资源</w:t>
            </w:r>
          </w:p>
        </w:tc>
        <w:tc>
          <w:tcPr>
            <w:tcW w:w="2329"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5、耕地开垦费</w:t>
            </w:r>
          </w:p>
        </w:tc>
        <w:tc>
          <w:tcPr>
            <w:tcW w:w="4036"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按辽政办[2020]15号文件规定标准执行</w:t>
            </w:r>
          </w:p>
        </w:tc>
        <w:tc>
          <w:tcPr>
            <w:tcW w:w="3760"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土地管理法》，辽政发[2000]48号，辽政办[2020]15号，按财综[2010]57号，对中小学校“校舍安全工程”免收，按财税[2014]77号，对非营利性养老和医疗机构免征，对营利性养老和医疗机构减半征收，按公告[2019]76号，对用于提供社区养老、托育、家政服务的土地免征，按沈房发[2014]41号，对保障性住房免收。</w:t>
            </w:r>
          </w:p>
        </w:tc>
        <w:tc>
          <w:tcPr>
            <w:tcW w:w="879" w:type="dxa"/>
            <w:vAlign w:val="center"/>
          </w:tcPr>
          <w:p>
            <w:pPr>
              <w:jc w:val="both"/>
              <w:rPr>
                <w:rFonts w:hint="eastAsia"/>
                <w:sz w:val="18"/>
                <w:szCs w:val="18"/>
                <w:vertAlign w:val="baseline"/>
                <w:lang w:val="en-US" w:eastAsia="zh-CN"/>
              </w:rPr>
            </w:pPr>
            <w:r>
              <w:rPr>
                <w:rFonts w:hint="eastAsia"/>
                <w:sz w:val="18"/>
                <w:szCs w:val="18"/>
                <w:vertAlign w:val="baseline"/>
                <w:lang w:val="en-US" w:eastAsia="zh-CN"/>
              </w:rPr>
              <w:t>中央</w:t>
            </w:r>
          </w:p>
        </w:tc>
        <w:tc>
          <w:tcPr>
            <w:tcW w:w="1241" w:type="dxa"/>
            <w:vAlign w:val="center"/>
          </w:tcPr>
          <w:p>
            <w:pPr>
              <w:jc w:val="both"/>
              <w:rPr>
                <w:rFonts w:hint="eastAsia"/>
                <w:sz w:val="18"/>
                <w:szCs w:val="18"/>
                <w:vertAlign w:val="baseline"/>
                <w:lang w:val="en-US" w:eastAsia="zh-CN"/>
              </w:rPr>
            </w:pPr>
            <w:r>
              <w:rPr>
                <w:rFonts w:hint="eastAsia"/>
                <w:sz w:val="18"/>
                <w:szCs w:val="18"/>
                <w:vertAlign w:val="baseline"/>
                <w:lang w:val="en-US" w:eastAsia="zh-CN"/>
              </w:rPr>
              <w:t>87335803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Merge w:val="continue"/>
            <w:vAlign w:val="center"/>
          </w:tcPr>
          <w:p>
            <w:pPr>
              <w:jc w:val="both"/>
              <w:rPr>
                <w:rFonts w:hint="eastAsia"/>
                <w:sz w:val="18"/>
                <w:szCs w:val="18"/>
                <w:vertAlign w:val="baseline"/>
                <w:lang w:val="en-US" w:eastAsia="zh-CN"/>
              </w:rPr>
            </w:pPr>
          </w:p>
        </w:tc>
        <w:tc>
          <w:tcPr>
            <w:tcW w:w="1200" w:type="dxa"/>
            <w:vMerge w:val="continue"/>
            <w:vAlign w:val="center"/>
          </w:tcPr>
          <w:p>
            <w:pPr>
              <w:jc w:val="both"/>
              <w:rPr>
                <w:rFonts w:hint="eastAsia"/>
                <w:sz w:val="18"/>
                <w:szCs w:val="18"/>
                <w:vertAlign w:val="baseline"/>
                <w:lang w:val="en-US" w:eastAsia="zh-CN"/>
              </w:rPr>
            </w:pPr>
          </w:p>
        </w:tc>
        <w:tc>
          <w:tcPr>
            <w:tcW w:w="2329"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6、土复垦费（取消对农民建房用地的土复垦费）</w:t>
            </w:r>
          </w:p>
        </w:tc>
        <w:tc>
          <w:tcPr>
            <w:tcW w:w="4036"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对因挖损、塌陷、占压等造成土地破坏，又没有条件复垦或复垦不符合要求的单位和个人征收，每平方米10元</w:t>
            </w:r>
          </w:p>
        </w:tc>
        <w:tc>
          <w:tcPr>
            <w:tcW w:w="3760"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土地管理法》，辽政发[2000]48号，按财综[2010]57号，对中小学校“校舍安全工程”免收，按财税[2014]77，对非营利性养老和医疗机构免征；对营利性养老和医疗机构减半征收，按公告[2019]76号，对用于提供社区养老，托育，家政服务的土地免征，按沈房发[2014]41号，对保障性住房免收。</w:t>
            </w:r>
          </w:p>
        </w:tc>
        <w:tc>
          <w:tcPr>
            <w:tcW w:w="879" w:type="dxa"/>
            <w:vAlign w:val="center"/>
          </w:tcPr>
          <w:p>
            <w:pPr>
              <w:jc w:val="both"/>
              <w:rPr>
                <w:rFonts w:hint="eastAsia"/>
                <w:sz w:val="18"/>
                <w:szCs w:val="18"/>
                <w:vertAlign w:val="baseline"/>
                <w:lang w:val="en-US" w:eastAsia="zh-CN"/>
              </w:rPr>
            </w:pPr>
            <w:r>
              <w:rPr>
                <w:rFonts w:hint="eastAsia"/>
                <w:sz w:val="18"/>
                <w:szCs w:val="18"/>
                <w:vertAlign w:val="baseline"/>
                <w:lang w:val="en-US" w:eastAsia="zh-CN"/>
              </w:rPr>
              <w:t>中央</w:t>
            </w:r>
          </w:p>
        </w:tc>
        <w:tc>
          <w:tcPr>
            <w:tcW w:w="1241" w:type="dxa"/>
            <w:vAlign w:val="center"/>
          </w:tcPr>
          <w:p>
            <w:pPr>
              <w:jc w:val="both"/>
              <w:rPr>
                <w:rFonts w:hint="eastAsia"/>
                <w:sz w:val="18"/>
                <w:szCs w:val="18"/>
                <w:vertAlign w:val="baseline"/>
                <w:lang w:val="en-US" w:eastAsia="zh-CN"/>
              </w:rPr>
            </w:pPr>
            <w:r>
              <w:rPr>
                <w:rFonts w:hint="eastAsia"/>
                <w:sz w:val="18"/>
                <w:szCs w:val="18"/>
                <w:vertAlign w:val="baseline"/>
                <w:lang w:val="en-US" w:eastAsia="zh-CN"/>
              </w:rPr>
              <w:t>87335803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Merge w:val="continue"/>
            <w:vAlign w:val="center"/>
          </w:tcPr>
          <w:p>
            <w:pPr>
              <w:jc w:val="both"/>
              <w:rPr>
                <w:rFonts w:hint="eastAsia"/>
                <w:sz w:val="18"/>
                <w:szCs w:val="18"/>
                <w:vertAlign w:val="baseline"/>
                <w:lang w:val="en-US" w:eastAsia="zh-CN"/>
              </w:rPr>
            </w:pPr>
          </w:p>
        </w:tc>
        <w:tc>
          <w:tcPr>
            <w:tcW w:w="1200" w:type="dxa"/>
            <w:vMerge w:val="continue"/>
            <w:vAlign w:val="center"/>
          </w:tcPr>
          <w:p>
            <w:pPr>
              <w:jc w:val="both"/>
              <w:rPr>
                <w:rFonts w:hint="eastAsia"/>
                <w:sz w:val="18"/>
                <w:szCs w:val="18"/>
                <w:vertAlign w:val="baseline"/>
                <w:lang w:val="en-US" w:eastAsia="zh-CN"/>
              </w:rPr>
            </w:pPr>
          </w:p>
        </w:tc>
        <w:tc>
          <w:tcPr>
            <w:tcW w:w="2329"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7、土地闲置费</w:t>
            </w:r>
          </w:p>
        </w:tc>
        <w:tc>
          <w:tcPr>
            <w:tcW w:w="4036"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除属于政府、政府有关部门的行政造成动工开发延迟的情形外，未动工开发满一年被认定为闲置土地的，按照土地地出让或者划拨价款的百分之二十征缴土地闲置费，对已经办理审批手续的非农业建设占用耕地，自批准之日起1年以上未动工建设的单位和个人征收，每平方米5元</w:t>
            </w:r>
          </w:p>
        </w:tc>
        <w:tc>
          <w:tcPr>
            <w:tcW w:w="3760"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中华人民共和国城市房地产管理法》《土地地管理法》，辽政发[2000]48号，财综[2012]47号，按财税[2014]77号，对非营利性养老和医疗机构免征，对营利性养老和医疗机构减半征收，按公告[2019]76号，对用于提供社区养老，托育，家政服务的土地免征。</w:t>
            </w:r>
          </w:p>
        </w:tc>
        <w:tc>
          <w:tcPr>
            <w:tcW w:w="879" w:type="dxa"/>
            <w:vAlign w:val="center"/>
          </w:tcPr>
          <w:p>
            <w:pPr>
              <w:jc w:val="both"/>
              <w:rPr>
                <w:rFonts w:hint="eastAsia"/>
                <w:sz w:val="18"/>
                <w:szCs w:val="18"/>
                <w:vertAlign w:val="baseline"/>
                <w:lang w:val="en-US" w:eastAsia="zh-CN"/>
              </w:rPr>
            </w:pPr>
            <w:r>
              <w:rPr>
                <w:rFonts w:hint="eastAsia"/>
                <w:sz w:val="18"/>
                <w:szCs w:val="18"/>
                <w:vertAlign w:val="baseline"/>
                <w:lang w:val="en-US" w:eastAsia="zh-CN"/>
              </w:rPr>
              <w:t>中央</w:t>
            </w:r>
          </w:p>
        </w:tc>
        <w:tc>
          <w:tcPr>
            <w:tcW w:w="1241" w:type="dxa"/>
            <w:vAlign w:val="center"/>
          </w:tcPr>
          <w:p>
            <w:pPr>
              <w:jc w:val="both"/>
              <w:rPr>
                <w:rFonts w:hint="eastAsia"/>
                <w:sz w:val="18"/>
                <w:szCs w:val="18"/>
                <w:vertAlign w:val="baseline"/>
                <w:lang w:val="en-US" w:eastAsia="zh-CN"/>
              </w:rPr>
            </w:pPr>
            <w:r>
              <w:rPr>
                <w:rFonts w:hint="eastAsia"/>
                <w:sz w:val="18"/>
                <w:szCs w:val="18"/>
                <w:vertAlign w:val="baseline"/>
                <w:lang w:val="en-US" w:eastAsia="zh-CN"/>
              </w:rPr>
              <w:t>87335803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Merge w:val="continue"/>
            <w:vAlign w:val="center"/>
          </w:tcPr>
          <w:p>
            <w:pPr>
              <w:jc w:val="both"/>
              <w:rPr>
                <w:rFonts w:hint="eastAsia"/>
                <w:sz w:val="18"/>
                <w:szCs w:val="18"/>
                <w:vertAlign w:val="baseline"/>
                <w:lang w:val="en-US" w:eastAsia="zh-CN"/>
              </w:rPr>
            </w:pPr>
          </w:p>
        </w:tc>
        <w:tc>
          <w:tcPr>
            <w:tcW w:w="1200" w:type="dxa"/>
            <w:vMerge w:val="continue"/>
            <w:vAlign w:val="center"/>
          </w:tcPr>
          <w:p>
            <w:pPr>
              <w:jc w:val="both"/>
              <w:rPr>
                <w:rFonts w:hint="eastAsia"/>
                <w:sz w:val="18"/>
                <w:szCs w:val="18"/>
                <w:vertAlign w:val="baseline"/>
                <w:lang w:val="en-US" w:eastAsia="zh-CN"/>
              </w:rPr>
            </w:pPr>
          </w:p>
        </w:tc>
        <w:tc>
          <w:tcPr>
            <w:tcW w:w="2329"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8、不动产登记费用</w:t>
            </w:r>
          </w:p>
        </w:tc>
        <w:tc>
          <w:tcPr>
            <w:tcW w:w="4036"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住宅类不动产登记收费80元/件，非住宅类不动产登记收费550元/件，向一个以上不动产权利人核发权属证书的，每增加一本证书加收工本费10元，详见发改价格规[2016]2559号。</w:t>
            </w:r>
          </w:p>
        </w:tc>
        <w:tc>
          <w:tcPr>
            <w:tcW w:w="3760"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财税[2016]79号，发改价格规[2016]2559号，按规定收取不动产登记费后，原相关部门收取的土地地登记费，房屋登记费，林权证工本费以及其他涉及不动产登记，查询，复制和证明的收费项目一律取消，按财税[2014]77号，对非营利性养老和医疗机构免征，对营利性养老和医疗机构减半征收，按财税[2019]45号规定范围免征和减征，公告[2019]76号，对用于提供社区养老，托育，家政服务的土地免征，按财税[2019]53号，对易地扶贫搬迁项目免征。</w:t>
            </w:r>
          </w:p>
        </w:tc>
        <w:tc>
          <w:tcPr>
            <w:tcW w:w="879" w:type="dxa"/>
            <w:vAlign w:val="center"/>
          </w:tcPr>
          <w:p>
            <w:pPr>
              <w:jc w:val="both"/>
              <w:rPr>
                <w:rFonts w:hint="eastAsia"/>
                <w:sz w:val="18"/>
                <w:szCs w:val="18"/>
                <w:vertAlign w:val="baseline"/>
                <w:lang w:val="en-US" w:eastAsia="zh-CN"/>
              </w:rPr>
            </w:pPr>
            <w:r>
              <w:rPr>
                <w:rFonts w:hint="eastAsia"/>
                <w:sz w:val="18"/>
                <w:szCs w:val="18"/>
                <w:vertAlign w:val="baseline"/>
                <w:lang w:val="en-US" w:eastAsia="zh-CN"/>
              </w:rPr>
              <w:t>中央</w:t>
            </w:r>
          </w:p>
        </w:tc>
        <w:tc>
          <w:tcPr>
            <w:tcW w:w="1241" w:type="dxa"/>
            <w:vAlign w:val="center"/>
          </w:tcPr>
          <w:p>
            <w:pPr>
              <w:jc w:val="both"/>
              <w:rPr>
                <w:rFonts w:hint="eastAsia"/>
                <w:sz w:val="18"/>
                <w:szCs w:val="18"/>
                <w:vertAlign w:val="baseline"/>
                <w:lang w:val="en-US" w:eastAsia="zh-CN"/>
              </w:rPr>
            </w:pPr>
            <w:r>
              <w:rPr>
                <w:rFonts w:hint="eastAsia"/>
                <w:sz w:val="18"/>
                <w:szCs w:val="18"/>
                <w:vertAlign w:val="baseline"/>
                <w:lang w:val="en-US" w:eastAsia="zh-CN"/>
              </w:rPr>
              <w:t>87335803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Merge w:val="continue"/>
            <w:vAlign w:val="center"/>
          </w:tcPr>
          <w:p>
            <w:pPr>
              <w:jc w:val="both"/>
              <w:rPr>
                <w:rFonts w:hint="eastAsia"/>
                <w:sz w:val="18"/>
                <w:szCs w:val="18"/>
                <w:vertAlign w:val="baseline"/>
                <w:lang w:val="en-US" w:eastAsia="zh-CN"/>
              </w:rPr>
            </w:pPr>
          </w:p>
        </w:tc>
        <w:tc>
          <w:tcPr>
            <w:tcW w:w="1200" w:type="dxa"/>
            <w:vMerge w:val="continue"/>
            <w:vAlign w:val="center"/>
          </w:tcPr>
          <w:p>
            <w:pPr>
              <w:jc w:val="both"/>
              <w:rPr>
                <w:rFonts w:hint="eastAsia"/>
                <w:sz w:val="18"/>
                <w:szCs w:val="18"/>
                <w:vertAlign w:val="baseline"/>
                <w:lang w:val="en-US" w:eastAsia="zh-CN"/>
              </w:rPr>
            </w:pPr>
          </w:p>
        </w:tc>
        <w:tc>
          <w:tcPr>
            <w:tcW w:w="2329"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9、草原植被恢复费</w:t>
            </w:r>
          </w:p>
        </w:tc>
        <w:tc>
          <w:tcPr>
            <w:tcW w:w="4036"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人工草地每平方米4元，天然草原每平方米6元，对在草原上修建直接为草原保护和畜牧业生产服务的工程设施的单位和个人，以及按规定标准建设住宅使用的草原农牧民，不得征收。</w:t>
            </w:r>
          </w:p>
        </w:tc>
        <w:tc>
          <w:tcPr>
            <w:tcW w:w="3760"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财综[2010]29号，辽财非[2010]1138号，辽发改收费函[2020]6号，到期时限：2022年12月31日。</w:t>
            </w:r>
          </w:p>
        </w:tc>
        <w:tc>
          <w:tcPr>
            <w:tcW w:w="879" w:type="dxa"/>
            <w:vAlign w:val="center"/>
          </w:tcPr>
          <w:p>
            <w:pPr>
              <w:jc w:val="both"/>
              <w:rPr>
                <w:rFonts w:hint="eastAsia"/>
                <w:sz w:val="18"/>
                <w:szCs w:val="18"/>
                <w:vertAlign w:val="baseline"/>
                <w:lang w:val="en-US" w:eastAsia="zh-CN"/>
              </w:rPr>
            </w:pPr>
            <w:r>
              <w:rPr>
                <w:rFonts w:hint="eastAsia"/>
                <w:sz w:val="18"/>
                <w:szCs w:val="18"/>
                <w:vertAlign w:val="baseline"/>
                <w:lang w:val="en-US" w:eastAsia="zh-CN"/>
              </w:rPr>
              <w:t>中央</w:t>
            </w:r>
          </w:p>
        </w:tc>
        <w:tc>
          <w:tcPr>
            <w:tcW w:w="1241" w:type="dxa"/>
            <w:vAlign w:val="center"/>
          </w:tcPr>
          <w:p>
            <w:pPr>
              <w:jc w:val="both"/>
              <w:rPr>
                <w:rFonts w:hint="eastAsia"/>
                <w:sz w:val="18"/>
                <w:szCs w:val="18"/>
                <w:vertAlign w:val="baseline"/>
                <w:lang w:val="en-US" w:eastAsia="zh-CN"/>
              </w:rPr>
            </w:pPr>
            <w:r>
              <w:rPr>
                <w:rFonts w:hint="eastAsia"/>
                <w:sz w:val="18"/>
                <w:szCs w:val="18"/>
                <w:vertAlign w:val="baseline"/>
                <w:lang w:val="en-US" w:eastAsia="zh-CN"/>
              </w:rPr>
              <w:t>87335803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jc w:val="both"/>
              <w:rPr>
                <w:rFonts w:hint="eastAsia"/>
                <w:sz w:val="18"/>
                <w:szCs w:val="18"/>
                <w:vertAlign w:val="baseline"/>
                <w:lang w:val="en-US" w:eastAsia="zh-CN"/>
              </w:rPr>
            </w:pPr>
            <w:r>
              <w:rPr>
                <w:rFonts w:hint="eastAsia"/>
                <w:sz w:val="18"/>
                <w:szCs w:val="18"/>
                <w:vertAlign w:val="baseline"/>
                <w:lang w:val="en-US" w:eastAsia="zh-CN"/>
              </w:rPr>
              <w:t>六</w:t>
            </w:r>
          </w:p>
        </w:tc>
        <w:tc>
          <w:tcPr>
            <w:tcW w:w="1200" w:type="dxa"/>
            <w:vAlign w:val="center"/>
          </w:tcPr>
          <w:p>
            <w:pPr>
              <w:jc w:val="both"/>
              <w:rPr>
                <w:rFonts w:hint="eastAsia"/>
                <w:sz w:val="18"/>
                <w:szCs w:val="18"/>
                <w:vertAlign w:val="baseline"/>
                <w:lang w:val="en-US" w:eastAsia="zh-CN"/>
              </w:rPr>
            </w:pPr>
            <w:r>
              <w:rPr>
                <w:rFonts w:hint="eastAsia"/>
                <w:sz w:val="18"/>
                <w:szCs w:val="18"/>
                <w:vertAlign w:val="baseline"/>
                <w:lang w:val="en-US" w:eastAsia="zh-CN"/>
              </w:rPr>
              <w:t>住建</w:t>
            </w:r>
          </w:p>
        </w:tc>
        <w:tc>
          <w:tcPr>
            <w:tcW w:w="2329"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10、污水处理费</w:t>
            </w:r>
          </w:p>
        </w:tc>
        <w:tc>
          <w:tcPr>
            <w:tcW w:w="4036"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居民用水类0.95元/吨；非居民用水类1.4元/吨。康平、法库县居民用水类0.85元/吨；非居民用水类1.2元/吨</w:t>
            </w:r>
          </w:p>
        </w:tc>
        <w:tc>
          <w:tcPr>
            <w:tcW w:w="3760"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《水污染防治法》《城市排水和污水处理条例》，财税[2014]151号，发改价格[2015]119号，省政府令第235号，辽政办发[2003]77号，辽政办发[2008]60号，沈价发[2016]42号。</w:t>
            </w:r>
          </w:p>
        </w:tc>
        <w:tc>
          <w:tcPr>
            <w:tcW w:w="879" w:type="dxa"/>
            <w:vAlign w:val="center"/>
          </w:tcPr>
          <w:p>
            <w:pPr>
              <w:jc w:val="both"/>
              <w:rPr>
                <w:rFonts w:hint="eastAsia"/>
                <w:sz w:val="18"/>
                <w:szCs w:val="18"/>
                <w:vertAlign w:val="baseline"/>
                <w:lang w:val="en-US" w:eastAsia="zh-CN"/>
              </w:rPr>
            </w:pPr>
            <w:r>
              <w:rPr>
                <w:rFonts w:hint="eastAsia"/>
                <w:sz w:val="18"/>
                <w:szCs w:val="18"/>
                <w:vertAlign w:val="baseline"/>
                <w:lang w:val="en-US" w:eastAsia="zh-CN"/>
              </w:rPr>
              <w:t>中央</w:t>
            </w:r>
          </w:p>
        </w:tc>
        <w:tc>
          <w:tcPr>
            <w:tcW w:w="1241" w:type="dxa"/>
            <w:vAlign w:val="center"/>
          </w:tcPr>
          <w:p>
            <w:pPr>
              <w:jc w:val="both"/>
              <w:rPr>
                <w:rFonts w:hint="eastAsia"/>
                <w:sz w:val="18"/>
                <w:szCs w:val="18"/>
                <w:vertAlign w:val="baseline"/>
                <w:lang w:val="en-US" w:eastAsia="zh-CN"/>
              </w:rPr>
            </w:pPr>
            <w:r>
              <w:rPr>
                <w:rFonts w:hint="eastAsia"/>
                <w:sz w:val="18"/>
                <w:szCs w:val="18"/>
                <w:vertAlign w:val="baseline"/>
                <w:lang w:val="en-US" w:eastAsia="zh-CN"/>
              </w:rPr>
              <w:t>87335803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jc w:val="both"/>
              <w:rPr>
                <w:rFonts w:hint="eastAsia"/>
                <w:sz w:val="18"/>
                <w:szCs w:val="18"/>
                <w:vertAlign w:val="baseline"/>
                <w:lang w:val="en-US" w:eastAsia="zh-CN"/>
              </w:rPr>
            </w:pPr>
            <w:r>
              <w:rPr>
                <w:rFonts w:hint="eastAsia"/>
                <w:sz w:val="18"/>
                <w:szCs w:val="18"/>
                <w:vertAlign w:val="baseline"/>
                <w:lang w:val="en-US" w:eastAsia="zh-CN"/>
              </w:rPr>
              <w:t>七</w:t>
            </w:r>
          </w:p>
        </w:tc>
        <w:tc>
          <w:tcPr>
            <w:tcW w:w="1200"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住建</w:t>
            </w:r>
          </w:p>
        </w:tc>
        <w:tc>
          <w:tcPr>
            <w:tcW w:w="2329"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11、城市道路占用、挖掘修复费</w:t>
            </w:r>
          </w:p>
        </w:tc>
        <w:tc>
          <w:tcPr>
            <w:tcW w:w="4036"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城市道路 占用收费标准：1、繁荣地区一年以内基建工地占道1.00元/日*平米，其他占道10.00元/日*平米。一年以上基建工地占道2.00元/日/平米，其它占道10.00元/日*平米。2、一级街路一年以内基建工地占道1.00元/日*平米，其他占道2.00元/日*平米，一年以上基建工地占道2.00元/日*平米，其他占道4.00元/日*平米。3、二级街路一年以内基建工地占道0.50元/日*平米，其他占道1.00元/日*平米。一年以上基建工地占道1.00元/日*平米，其他占道2.00元/日*平米。4、街巷路一年以内基建工地占道0.30元/日*平米，其他占道0.50元/日*平米，一年以上基建工地占道0.60元/日*平米，其他占道1.00元/日*平米。5、占用道路的各类停车场，市场（含摊区）0.10元/日*平米，城市道路挖掘修复收费标准：（1）沥青路面520元/平方米。（2）条（料）石路面500元/平方米。（3）水泥砼路面300元/平方米。（4）彩色方砖230元/平方米。（5）边石、卧石158元/平方米。（6）砂石路面87元/平方米（7）土路30元/平方米。（8）规划路30元/平方米。</w:t>
            </w:r>
          </w:p>
        </w:tc>
        <w:tc>
          <w:tcPr>
            <w:tcW w:w="3760"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城市道路管理条例》，建城[1993]410号，财预[2003]470号，财税[2015]68号，辽建发[1995]53号，辽住建[2011]240号，辽财非[2015]991号，沈文城发[1993]8号，沈价发[1993]90号，按沈房发[2014]41号，对保障性住房免收，按辽财税[2020]268号，对经批准占用城市规划区内道路经营的单位和个人免征城市道路占用费。</w:t>
            </w:r>
          </w:p>
        </w:tc>
        <w:tc>
          <w:tcPr>
            <w:tcW w:w="879" w:type="dxa"/>
            <w:vAlign w:val="center"/>
          </w:tcPr>
          <w:p>
            <w:pPr>
              <w:jc w:val="both"/>
              <w:rPr>
                <w:rFonts w:hint="eastAsia"/>
                <w:sz w:val="18"/>
                <w:szCs w:val="18"/>
                <w:vertAlign w:val="baseline"/>
                <w:lang w:val="en-US" w:eastAsia="zh-CN"/>
              </w:rPr>
            </w:pPr>
            <w:r>
              <w:rPr>
                <w:rFonts w:hint="eastAsia"/>
                <w:sz w:val="18"/>
                <w:szCs w:val="18"/>
                <w:vertAlign w:val="baseline"/>
                <w:lang w:val="en-US" w:eastAsia="zh-CN"/>
              </w:rPr>
              <w:t>中央</w:t>
            </w:r>
          </w:p>
        </w:tc>
        <w:tc>
          <w:tcPr>
            <w:tcW w:w="1241" w:type="dxa"/>
            <w:vAlign w:val="center"/>
          </w:tcPr>
          <w:p>
            <w:pPr>
              <w:jc w:val="both"/>
              <w:rPr>
                <w:rFonts w:hint="eastAsia"/>
                <w:sz w:val="18"/>
                <w:szCs w:val="18"/>
                <w:vertAlign w:val="baseline"/>
                <w:lang w:val="en-US" w:eastAsia="zh-CN"/>
              </w:rPr>
            </w:pPr>
            <w:r>
              <w:rPr>
                <w:rFonts w:hint="eastAsia"/>
                <w:sz w:val="18"/>
                <w:szCs w:val="18"/>
                <w:vertAlign w:val="baseline"/>
                <w:lang w:val="en-US" w:eastAsia="zh-CN"/>
              </w:rPr>
              <w:t>87335803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Merge w:val="restart"/>
            <w:vAlign w:val="center"/>
          </w:tcPr>
          <w:p>
            <w:pPr>
              <w:jc w:val="both"/>
              <w:rPr>
                <w:rFonts w:hint="eastAsia"/>
                <w:sz w:val="18"/>
                <w:szCs w:val="18"/>
                <w:vertAlign w:val="baseline"/>
                <w:lang w:val="en-US" w:eastAsia="zh-CN"/>
              </w:rPr>
            </w:pPr>
            <w:r>
              <w:rPr>
                <w:rFonts w:hint="eastAsia"/>
                <w:sz w:val="18"/>
                <w:szCs w:val="18"/>
                <w:vertAlign w:val="baseline"/>
                <w:lang w:val="en-US" w:eastAsia="zh-CN"/>
              </w:rPr>
              <w:t>八</w:t>
            </w:r>
          </w:p>
        </w:tc>
        <w:tc>
          <w:tcPr>
            <w:tcW w:w="1200" w:type="dxa"/>
            <w:vMerge w:val="restart"/>
            <w:vAlign w:val="center"/>
          </w:tcPr>
          <w:p>
            <w:pPr>
              <w:jc w:val="both"/>
              <w:rPr>
                <w:rFonts w:hint="eastAsia"/>
                <w:sz w:val="18"/>
                <w:szCs w:val="18"/>
                <w:vertAlign w:val="baseline"/>
                <w:lang w:val="en-US" w:eastAsia="zh-CN"/>
              </w:rPr>
            </w:pPr>
            <w:r>
              <w:rPr>
                <w:rFonts w:hint="eastAsia"/>
                <w:sz w:val="18"/>
                <w:szCs w:val="18"/>
                <w:vertAlign w:val="baseline"/>
                <w:lang w:val="en-US" w:eastAsia="zh-CN"/>
              </w:rPr>
              <w:t>自然资源</w:t>
            </w:r>
          </w:p>
        </w:tc>
        <w:tc>
          <w:tcPr>
            <w:tcW w:w="2329" w:type="dxa"/>
            <w:vMerge w:val="restart"/>
            <w:vAlign w:val="center"/>
          </w:tcPr>
          <w:p>
            <w:pPr>
              <w:jc w:val="both"/>
              <w:rPr>
                <w:rFonts w:hint="default"/>
                <w:sz w:val="18"/>
                <w:szCs w:val="18"/>
                <w:vertAlign w:val="baseline"/>
                <w:lang w:val="en-US" w:eastAsia="zh-CN"/>
              </w:rPr>
            </w:pPr>
            <w:r>
              <w:rPr>
                <w:rFonts w:hint="eastAsia"/>
                <w:sz w:val="18"/>
                <w:szCs w:val="18"/>
                <w:vertAlign w:val="baseline"/>
                <w:lang w:val="en-US" w:eastAsia="zh-CN"/>
              </w:rPr>
              <w:t>12、水资源费（对农民生活和生产用水免收）</w:t>
            </w:r>
          </w:p>
        </w:tc>
        <w:tc>
          <w:tcPr>
            <w:tcW w:w="4036"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1、一般地下水：居民生活和自来水公司取水0.35元/立方米，非居民取水0.7元/立方米，特业取水4元/立方米。</w:t>
            </w:r>
          </w:p>
        </w:tc>
        <w:tc>
          <w:tcPr>
            <w:tcW w:w="3760" w:type="dxa"/>
            <w:vMerge w:val="restart"/>
            <w:vAlign w:val="center"/>
          </w:tcPr>
          <w:p>
            <w:pPr>
              <w:jc w:val="both"/>
              <w:rPr>
                <w:rFonts w:hint="default"/>
                <w:sz w:val="18"/>
                <w:szCs w:val="18"/>
                <w:vertAlign w:val="baseline"/>
                <w:lang w:val="en-US" w:eastAsia="zh-CN"/>
              </w:rPr>
            </w:pPr>
            <w:r>
              <w:rPr>
                <w:rFonts w:hint="eastAsia"/>
                <w:sz w:val="18"/>
                <w:szCs w:val="18"/>
                <w:vertAlign w:val="baseline"/>
                <w:lang w:val="en-US" w:eastAsia="zh-CN"/>
              </w:rPr>
              <w:t>《水法》《取水许可和水资源费征收管理条例》（国务院令第460号），价费字[1992]181号，财综[2003]89号，财综[2008]79号，发改价格[2009]1779号，发改价格[</w:t>
            </w:r>
            <w:bookmarkStart w:id="0" w:name="_GoBack"/>
            <w:bookmarkEnd w:id="0"/>
            <w:r>
              <w:rPr>
                <w:rFonts w:hint="eastAsia"/>
                <w:sz w:val="18"/>
                <w:szCs w:val="18"/>
                <w:vertAlign w:val="baseline"/>
                <w:lang w:val="en-US" w:eastAsia="zh-CN"/>
              </w:rPr>
              <w:t>2013]29号，辽财综[2004]67号，辽财非[2009]546号，省政府令第234号，辽政发[2010]18号，辽价发[2011]100号，辽政发[2016]27号，按财综[2010]57号，对中小学校“校舍安全工程”免征，按沈房发[2014]41号，对保障性住房免收。</w:t>
            </w:r>
          </w:p>
        </w:tc>
        <w:tc>
          <w:tcPr>
            <w:tcW w:w="879" w:type="dxa"/>
            <w:vMerge w:val="restart"/>
            <w:vAlign w:val="center"/>
          </w:tcPr>
          <w:p>
            <w:pPr>
              <w:jc w:val="both"/>
              <w:rPr>
                <w:rFonts w:hint="eastAsia"/>
                <w:sz w:val="18"/>
                <w:szCs w:val="18"/>
                <w:vertAlign w:val="baseline"/>
                <w:lang w:val="en-US" w:eastAsia="zh-CN"/>
              </w:rPr>
            </w:pPr>
            <w:r>
              <w:rPr>
                <w:rFonts w:hint="eastAsia"/>
                <w:sz w:val="18"/>
                <w:szCs w:val="18"/>
                <w:vertAlign w:val="baseline"/>
                <w:lang w:val="en-US" w:eastAsia="zh-CN"/>
              </w:rPr>
              <w:t>中央</w:t>
            </w:r>
          </w:p>
        </w:tc>
        <w:tc>
          <w:tcPr>
            <w:tcW w:w="1241" w:type="dxa"/>
            <w:vMerge w:val="restart"/>
            <w:vAlign w:val="center"/>
          </w:tcPr>
          <w:p>
            <w:pPr>
              <w:jc w:val="both"/>
              <w:rPr>
                <w:rFonts w:hint="eastAsia"/>
                <w:sz w:val="18"/>
                <w:szCs w:val="18"/>
                <w:vertAlign w:val="baseline"/>
                <w:lang w:val="en-US" w:eastAsia="zh-CN"/>
              </w:rPr>
            </w:pPr>
            <w:r>
              <w:rPr>
                <w:rFonts w:hint="eastAsia"/>
                <w:sz w:val="18"/>
                <w:szCs w:val="18"/>
                <w:vertAlign w:val="baseline"/>
                <w:lang w:val="en-US" w:eastAsia="zh-CN"/>
              </w:rPr>
              <w:t>87335803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Merge w:val="continue"/>
            <w:vAlign w:val="center"/>
          </w:tcPr>
          <w:p>
            <w:pPr>
              <w:jc w:val="both"/>
              <w:rPr>
                <w:rFonts w:hint="eastAsia"/>
                <w:sz w:val="18"/>
                <w:szCs w:val="18"/>
                <w:vertAlign w:val="baseline"/>
                <w:lang w:val="en-US" w:eastAsia="zh-CN"/>
              </w:rPr>
            </w:pPr>
          </w:p>
        </w:tc>
        <w:tc>
          <w:tcPr>
            <w:tcW w:w="1200" w:type="dxa"/>
            <w:vMerge w:val="continue"/>
            <w:vAlign w:val="center"/>
          </w:tcPr>
          <w:p>
            <w:pPr>
              <w:jc w:val="both"/>
              <w:rPr>
                <w:rFonts w:hint="eastAsia"/>
                <w:sz w:val="18"/>
                <w:szCs w:val="18"/>
                <w:vertAlign w:val="baseline"/>
                <w:lang w:val="en-US" w:eastAsia="zh-CN"/>
              </w:rPr>
            </w:pPr>
          </w:p>
        </w:tc>
        <w:tc>
          <w:tcPr>
            <w:tcW w:w="2329" w:type="dxa"/>
            <w:vMerge w:val="continue"/>
            <w:vAlign w:val="center"/>
          </w:tcPr>
          <w:p>
            <w:pPr>
              <w:jc w:val="both"/>
              <w:rPr>
                <w:rFonts w:hint="eastAsia"/>
                <w:sz w:val="18"/>
                <w:szCs w:val="18"/>
                <w:vertAlign w:val="baseline"/>
                <w:lang w:val="en-US" w:eastAsia="zh-CN"/>
              </w:rPr>
            </w:pPr>
          </w:p>
        </w:tc>
        <w:tc>
          <w:tcPr>
            <w:tcW w:w="4036"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2、保护区和管网区地下水：居民生活和自来水公司取水0.8元/立方米，非居民取水1.2元/立方米，特业取水10元/立方米</w:t>
            </w:r>
          </w:p>
        </w:tc>
        <w:tc>
          <w:tcPr>
            <w:tcW w:w="3760" w:type="dxa"/>
            <w:vMerge w:val="continue"/>
            <w:vAlign w:val="center"/>
          </w:tcPr>
          <w:p>
            <w:pPr>
              <w:jc w:val="both"/>
              <w:rPr>
                <w:rFonts w:hint="eastAsia"/>
                <w:sz w:val="18"/>
                <w:szCs w:val="18"/>
                <w:vertAlign w:val="baseline"/>
                <w:lang w:val="en-US" w:eastAsia="zh-CN"/>
              </w:rPr>
            </w:pPr>
          </w:p>
        </w:tc>
        <w:tc>
          <w:tcPr>
            <w:tcW w:w="879" w:type="dxa"/>
            <w:vMerge w:val="continue"/>
            <w:vAlign w:val="center"/>
          </w:tcPr>
          <w:p>
            <w:pPr>
              <w:jc w:val="both"/>
              <w:rPr>
                <w:rFonts w:hint="eastAsia"/>
                <w:sz w:val="18"/>
                <w:szCs w:val="18"/>
                <w:vertAlign w:val="baseline"/>
                <w:lang w:val="en-US" w:eastAsia="zh-CN"/>
              </w:rPr>
            </w:pPr>
          </w:p>
        </w:tc>
        <w:tc>
          <w:tcPr>
            <w:tcW w:w="1241" w:type="dxa"/>
            <w:vMerge w:val="continue"/>
            <w:vAlign w:val="center"/>
          </w:tcPr>
          <w:p>
            <w:pPr>
              <w:jc w:val="both"/>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Merge w:val="continue"/>
            <w:vAlign w:val="center"/>
          </w:tcPr>
          <w:p>
            <w:pPr>
              <w:jc w:val="both"/>
              <w:rPr>
                <w:rFonts w:hint="eastAsia"/>
                <w:sz w:val="18"/>
                <w:szCs w:val="18"/>
                <w:vertAlign w:val="baseline"/>
                <w:lang w:val="en-US" w:eastAsia="zh-CN"/>
              </w:rPr>
            </w:pPr>
          </w:p>
        </w:tc>
        <w:tc>
          <w:tcPr>
            <w:tcW w:w="1200" w:type="dxa"/>
            <w:vMerge w:val="continue"/>
            <w:vAlign w:val="center"/>
          </w:tcPr>
          <w:p>
            <w:pPr>
              <w:jc w:val="both"/>
              <w:rPr>
                <w:rFonts w:hint="eastAsia"/>
                <w:sz w:val="18"/>
                <w:szCs w:val="18"/>
                <w:vertAlign w:val="baseline"/>
                <w:lang w:val="en-US" w:eastAsia="zh-CN"/>
              </w:rPr>
            </w:pPr>
          </w:p>
        </w:tc>
        <w:tc>
          <w:tcPr>
            <w:tcW w:w="2329" w:type="dxa"/>
            <w:vMerge w:val="continue"/>
            <w:vAlign w:val="center"/>
          </w:tcPr>
          <w:p>
            <w:pPr>
              <w:jc w:val="both"/>
              <w:rPr>
                <w:rFonts w:hint="eastAsia"/>
                <w:sz w:val="18"/>
                <w:szCs w:val="18"/>
                <w:vertAlign w:val="baseline"/>
                <w:lang w:val="en-US" w:eastAsia="zh-CN"/>
              </w:rPr>
            </w:pPr>
          </w:p>
        </w:tc>
        <w:tc>
          <w:tcPr>
            <w:tcW w:w="4036"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3、地热水、矿泉水：居民生活取水1.2元/立方米；非居民取水2元/立方米；特业取水10元/立方米。</w:t>
            </w:r>
          </w:p>
        </w:tc>
        <w:tc>
          <w:tcPr>
            <w:tcW w:w="3760" w:type="dxa"/>
            <w:vMerge w:val="continue"/>
            <w:vAlign w:val="center"/>
          </w:tcPr>
          <w:p>
            <w:pPr>
              <w:jc w:val="both"/>
              <w:rPr>
                <w:rFonts w:hint="eastAsia"/>
                <w:sz w:val="18"/>
                <w:szCs w:val="18"/>
                <w:vertAlign w:val="baseline"/>
                <w:lang w:val="en-US" w:eastAsia="zh-CN"/>
              </w:rPr>
            </w:pPr>
          </w:p>
        </w:tc>
        <w:tc>
          <w:tcPr>
            <w:tcW w:w="879" w:type="dxa"/>
            <w:vMerge w:val="continue"/>
            <w:vAlign w:val="center"/>
          </w:tcPr>
          <w:p>
            <w:pPr>
              <w:jc w:val="both"/>
              <w:rPr>
                <w:rFonts w:hint="eastAsia"/>
                <w:sz w:val="18"/>
                <w:szCs w:val="18"/>
                <w:vertAlign w:val="baseline"/>
                <w:lang w:val="en-US" w:eastAsia="zh-CN"/>
              </w:rPr>
            </w:pPr>
          </w:p>
        </w:tc>
        <w:tc>
          <w:tcPr>
            <w:tcW w:w="1241" w:type="dxa"/>
            <w:vMerge w:val="continue"/>
            <w:vAlign w:val="center"/>
          </w:tcPr>
          <w:p>
            <w:pPr>
              <w:jc w:val="both"/>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Merge w:val="continue"/>
            <w:vAlign w:val="center"/>
          </w:tcPr>
          <w:p>
            <w:pPr>
              <w:jc w:val="both"/>
              <w:rPr>
                <w:rFonts w:hint="eastAsia"/>
                <w:sz w:val="18"/>
                <w:szCs w:val="18"/>
                <w:vertAlign w:val="baseline"/>
                <w:lang w:val="en-US" w:eastAsia="zh-CN"/>
              </w:rPr>
            </w:pPr>
          </w:p>
        </w:tc>
        <w:tc>
          <w:tcPr>
            <w:tcW w:w="1200" w:type="dxa"/>
            <w:vMerge w:val="continue"/>
            <w:vAlign w:val="center"/>
          </w:tcPr>
          <w:p>
            <w:pPr>
              <w:jc w:val="both"/>
              <w:rPr>
                <w:rFonts w:hint="eastAsia"/>
                <w:sz w:val="18"/>
                <w:szCs w:val="18"/>
                <w:vertAlign w:val="baseline"/>
                <w:lang w:val="en-US" w:eastAsia="zh-CN"/>
              </w:rPr>
            </w:pPr>
          </w:p>
        </w:tc>
        <w:tc>
          <w:tcPr>
            <w:tcW w:w="2329" w:type="dxa"/>
            <w:vMerge w:val="continue"/>
            <w:vAlign w:val="center"/>
          </w:tcPr>
          <w:p>
            <w:pPr>
              <w:jc w:val="both"/>
              <w:rPr>
                <w:rFonts w:hint="eastAsia"/>
                <w:sz w:val="18"/>
                <w:szCs w:val="18"/>
                <w:vertAlign w:val="baseline"/>
                <w:lang w:val="en-US" w:eastAsia="zh-CN"/>
              </w:rPr>
            </w:pPr>
          </w:p>
        </w:tc>
        <w:tc>
          <w:tcPr>
            <w:tcW w:w="4036"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4、地表水：居民生活和自来水公司取水0.2元/立方米，非居民取水0.5元/立方米，特业取水4元/立方米</w:t>
            </w:r>
          </w:p>
        </w:tc>
        <w:tc>
          <w:tcPr>
            <w:tcW w:w="3760" w:type="dxa"/>
            <w:vMerge w:val="continue"/>
            <w:vAlign w:val="center"/>
          </w:tcPr>
          <w:p>
            <w:pPr>
              <w:jc w:val="both"/>
              <w:rPr>
                <w:rFonts w:hint="eastAsia"/>
                <w:sz w:val="18"/>
                <w:szCs w:val="18"/>
                <w:vertAlign w:val="baseline"/>
                <w:lang w:val="en-US" w:eastAsia="zh-CN"/>
              </w:rPr>
            </w:pPr>
          </w:p>
        </w:tc>
        <w:tc>
          <w:tcPr>
            <w:tcW w:w="879" w:type="dxa"/>
            <w:vMerge w:val="continue"/>
            <w:vAlign w:val="center"/>
          </w:tcPr>
          <w:p>
            <w:pPr>
              <w:jc w:val="both"/>
              <w:rPr>
                <w:rFonts w:hint="eastAsia"/>
                <w:sz w:val="18"/>
                <w:szCs w:val="18"/>
                <w:vertAlign w:val="baseline"/>
                <w:lang w:val="en-US" w:eastAsia="zh-CN"/>
              </w:rPr>
            </w:pPr>
          </w:p>
        </w:tc>
        <w:tc>
          <w:tcPr>
            <w:tcW w:w="1241" w:type="dxa"/>
            <w:vMerge w:val="continue"/>
            <w:vAlign w:val="center"/>
          </w:tcPr>
          <w:p>
            <w:pPr>
              <w:jc w:val="both"/>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Merge w:val="continue"/>
            <w:vAlign w:val="center"/>
          </w:tcPr>
          <w:p>
            <w:pPr>
              <w:jc w:val="both"/>
              <w:rPr>
                <w:rFonts w:hint="eastAsia"/>
                <w:sz w:val="18"/>
                <w:szCs w:val="18"/>
                <w:vertAlign w:val="baseline"/>
                <w:lang w:val="en-US" w:eastAsia="zh-CN"/>
              </w:rPr>
            </w:pPr>
          </w:p>
        </w:tc>
        <w:tc>
          <w:tcPr>
            <w:tcW w:w="1200" w:type="dxa"/>
            <w:vMerge w:val="continue"/>
            <w:vAlign w:val="center"/>
          </w:tcPr>
          <w:p>
            <w:pPr>
              <w:jc w:val="both"/>
              <w:rPr>
                <w:rFonts w:hint="eastAsia"/>
                <w:sz w:val="18"/>
                <w:szCs w:val="18"/>
                <w:vertAlign w:val="baseline"/>
                <w:lang w:val="en-US" w:eastAsia="zh-CN"/>
              </w:rPr>
            </w:pPr>
          </w:p>
        </w:tc>
        <w:tc>
          <w:tcPr>
            <w:tcW w:w="2329" w:type="dxa"/>
            <w:vMerge w:val="continue"/>
            <w:vAlign w:val="center"/>
          </w:tcPr>
          <w:p>
            <w:pPr>
              <w:jc w:val="both"/>
              <w:rPr>
                <w:rFonts w:hint="eastAsia"/>
                <w:sz w:val="18"/>
                <w:szCs w:val="18"/>
                <w:vertAlign w:val="baseline"/>
                <w:lang w:val="en-US" w:eastAsia="zh-CN"/>
              </w:rPr>
            </w:pPr>
          </w:p>
        </w:tc>
        <w:tc>
          <w:tcPr>
            <w:tcW w:w="4036"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5、水利工程取水：0.05元/立方米</w:t>
            </w:r>
          </w:p>
        </w:tc>
        <w:tc>
          <w:tcPr>
            <w:tcW w:w="3760" w:type="dxa"/>
            <w:vMerge w:val="continue"/>
            <w:vAlign w:val="center"/>
          </w:tcPr>
          <w:p>
            <w:pPr>
              <w:jc w:val="both"/>
              <w:rPr>
                <w:rFonts w:hint="eastAsia"/>
                <w:sz w:val="18"/>
                <w:szCs w:val="18"/>
                <w:vertAlign w:val="baseline"/>
                <w:lang w:val="en-US" w:eastAsia="zh-CN"/>
              </w:rPr>
            </w:pPr>
          </w:p>
        </w:tc>
        <w:tc>
          <w:tcPr>
            <w:tcW w:w="879" w:type="dxa"/>
            <w:vMerge w:val="continue"/>
            <w:vAlign w:val="center"/>
          </w:tcPr>
          <w:p>
            <w:pPr>
              <w:jc w:val="both"/>
              <w:rPr>
                <w:rFonts w:hint="eastAsia"/>
                <w:sz w:val="18"/>
                <w:szCs w:val="18"/>
                <w:vertAlign w:val="baseline"/>
                <w:lang w:val="en-US" w:eastAsia="zh-CN"/>
              </w:rPr>
            </w:pPr>
          </w:p>
        </w:tc>
        <w:tc>
          <w:tcPr>
            <w:tcW w:w="1241" w:type="dxa"/>
            <w:vMerge w:val="continue"/>
            <w:vAlign w:val="center"/>
          </w:tcPr>
          <w:p>
            <w:pPr>
              <w:jc w:val="both"/>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Merge w:val="continue"/>
            <w:vAlign w:val="center"/>
          </w:tcPr>
          <w:p>
            <w:pPr>
              <w:jc w:val="both"/>
              <w:rPr>
                <w:rFonts w:hint="eastAsia"/>
                <w:sz w:val="18"/>
                <w:szCs w:val="18"/>
                <w:vertAlign w:val="baseline"/>
                <w:lang w:val="en-US" w:eastAsia="zh-CN"/>
              </w:rPr>
            </w:pPr>
          </w:p>
        </w:tc>
        <w:tc>
          <w:tcPr>
            <w:tcW w:w="1200" w:type="dxa"/>
            <w:vMerge w:val="continue"/>
            <w:vAlign w:val="center"/>
          </w:tcPr>
          <w:p>
            <w:pPr>
              <w:jc w:val="both"/>
              <w:rPr>
                <w:rFonts w:hint="eastAsia"/>
                <w:sz w:val="18"/>
                <w:szCs w:val="18"/>
                <w:vertAlign w:val="baseline"/>
                <w:lang w:val="en-US" w:eastAsia="zh-CN"/>
              </w:rPr>
            </w:pPr>
          </w:p>
        </w:tc>
        <w:tc>
          <w:tcPr>
            <w:tcW w:w="2329" w:type="dxa"/>
            <w:vMerge w:val="continue"/>
            <w:vAlign w:val="center"/>
          </w:tcPr>
          <w:p>
            <w:pPr>
              <w:jc w:val="both"/>
              <w:rPr>
                <w:rFonts w:hint="eastAsia"/>
                <w:sz w:val="18"/>
                <w:szCs w:val="18"/>
                <w:vertAlign w:val="baseline"/>
                <w:lang w:val="en-US" w:eastAsia="zh-CN"/>
              </w:rPr>
            </w:pPr>
          </w:p>
        </w:tc>
        <w:tc>
          <w:tcPr>
            <w:tcW w:w="4036"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6、水电站取水：装机容量50兆瓦以上（含本数）0.008元/千瓦小时；装机容量50兆瓦以下0.005元/千瓦小时。</w:t>
            </w:r>
          </w:p>
        </w:tc>
        <w:tc>
          <w:tcPr>
            <w:tcW w:w="3760" w:type="dxa"/>
            <w:vMerge w:val="continue"/>
            <w:vAlign w:val="center"/>
          </w:tcPr>
          <w:p>
            <w:pPr>
              <w:jc w:val="both"/>
              <w:rPr>
                <w:rFonts w:hint="eastAsia"/>
                <w:sz w:val="18"/>
                <w:szCs w:val="18"/>
                <w:vertAlign w:val="baseline"/>
                <w:lang w:val="en-US" w:eastAsia="zh-CN"/>
              </w:rPr>
            </w:pPr>
          </w:p>
        </w:tc>
        <w:tc>
          <w:tcPr>
            <w:tcW w:w="879" w:type="dxa"/>
            <w:vMerge w:val="continue"/>
            <w:vAlign w:val="center"/>
          </w:tcPr>
          <w:p>
            <w:pPr>
              <w:jc w:val="both"/>
              <w:rPr>
                <w:rFonts w:hint="eastAsia"/>
                <w:sz w:val="18"/>
                <w:szCs w:val="18"/>
                <w:vertAlign w:val="baseline"/>
                <w:lang w:val="en-US" w:eastAsia="zh-CN"/>
              </w:rPr>
            </w:pPr>
          </w:p>
        </w:tc>
        <w:tc>
          <w:tcPr>
            <w:tcW w:w="1241" w:type="dxa"/>
            <w:vMerge w:val="continue"/>
            <w:vAlign w:val="center"/>
          </w:tcPr>
          <w:p>
            <w:pPr>
              <w:jc w:val="both"/>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Merge w:val="continue"/>
            <w:vAlign w:val="center"/>
          </w:tcPr>
          <w:p>
            <w:pPr>
              <w:jc w:val="both"/>
              <w:rPr>
                <w:rFonts w:hint="eastAsia"/>
                <w:sz w:val="18"/>
                <w:szCs w:val="18"/>
                <w:vertAlign w:val="baseline"/>
                <w:lang w:val="en-US" w:eastAsia="zh-CN"/>
              </w:rPr>
            </w:pPr>
          </w:p>
        </w:tc>
        <w:tc>
          <w:tcPr>
            <w:tcW w:w="1200" w:type="dxa"/>
            <w:vMerge w:val="continue"/>
            <w:vAlign w:val="center"/>
          </w:tcPr>
          <w:p>
            <w:pPr>
              <w:jc w:val="both"/>
              <w:rPr>
                <w:rFonts w:hint="eastAsia"/>
                <w:sz w:val="18"/>
                <w:szCs w:val="18"/>
                <w:vertAlign w:val="baseline"/>
                <w:lang w:val="en-US" w:eastAsia="zh-CN"/>
              </w:rPr>
            </w:pPr>
          </w:p>
        </w:tc>
        <w:tc>
          <w:tcPr>
            <w:tcW w:w="2329" w:type="dxa"/>
            <w:vMerge w:val="continue"/>
            <w:vAlign w:val="center"/>
          </w:tcPr>
          <w:p>
            <w:pPr>
              <w:jc w:val="both"/>
              <w:rPr>
                <w:rFonts w:hint="eastAsia"/>
                <w:sz w:val="18"/>
                <w:szCs w:val="18"/>
                <w:vertAlign w:val="baseline"/>
                <w:lang w:val="en-US" w:eastAsia="zh-CN"/>
              </w:rPr>
            </w:pPr>
          </w:p>
        </w:tc>
        <w:tc>
          <w:tcPr>
            <w:tcW w:w="4036"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7、疏干排水取水：直接排放0.1元/立方米，再利用0.2元/立方米</w:t>
            </w:r>
          </w:p>
        </w:tc>
        <w:tc>
          <w:tcPr>
            <w:tcW w:w="3760" w:type="dxa"/>
            <w:vMerge w:val="continue"/>
            <w:vAlign w:val="center"/>
          </w:tcPr>
          <w:p>
            <w:pPr>
              <w:jc w:val="both"/>
              <w:rPr>
                <w:rFonts w:hint="eastAsia"/>
                <w:sz w:val="18"/>
                <w:szCs w:val="18"/>
                <w:vertAlign w:val="baseline"/>
                <w:lang w:val="en-US" w:eastAsia="zh-CN"/>
              </w:rPr>
            </w:pPr>
          </w:p>
        </w:tc>
        <w:tc>
          <w:tcPr>
            <w:tcW w:w="879" w:type="dxa"/>
            <w:vMerge w:val="continue"/>
            <w:vAlign w:val="center"/>
          </w:tcPr>
          <w:p>
            <w:pPr>
              <w:jc w:val="both"/>
              <w:rPr>
                <w:rFonts w:hint="eastAsia"/>
                <w:sz w:val="18"/>
                <w:szCs w:val="18"/>
                <w:vertAlign w:val="baseline"/>
                <w:lang w:val="en-US" w:eastAsia="zh-CN"/>
              </w:rPr>
            </w:pPr>
          </w:p>
        </w:tc>
        <w:tc>
          <w:tcPr>
            <w:tcW w:w="1241" w:type="dxa"/>
            <w:vMerge w:val="continue"/>
            <w:vAlign w:val="center"/>
          </w:tcPr>
          <w:p>
            <w:pPr>
              <w:jc w:val="both"/>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Merge w:val="continue"/>
            <w:vAlign w:val="center"/>
          </w:tcPr>
          <w:p>
            <w:pPr>
              <w:jc w:val="both"/>
              <w:rPr>
                <w:rFonts w:hint="eastAsia"/>
                <w:sz w:val="18"/>
                <w:szCs w:val="18"/>
                <w:vertAlign w:val="baseline"/>
                <w:lang w:val="en-US" w:eastAsia="zh-CN"/>
              </w:rPr>
            </w:pPr>
          </w:p>
        </w:tc>
        <w:tc>
          <w:tcPr>
            <w:tcW w:w="1200" w:type="dxa"/>
            <w:vMerge w:val="continue"/>
            <w:vAlign w:val="center"/>
          </w:tcPr>
          <w:p>
            <w:pPr>
              <w:jc w:val="both"/>
              <w:rPr>
                <w:rFonts w:hint="eastAsia"/>
                <w:sz w:val="18"/>
                <w:szCs w:val="18"/>
                <w:vertAlign w:val="baseline"/>
                <w:lang w:val="en-US" w:eastAsia="zh-CN"/>
              </w:rPr>
            </w:pPr>
          </w:p>
        </w:tc>
        <w:tc>
          <w:tcPr>
            <w:tcW w:w="2329" w:type="dxa"/>
            <w:vMerge w:val="continue"/>
            <w:vAlign w:val="center"/>
          </w:tcPr>
          <w:p>
            <w:pPr>
              <w:jc w:val="both"/>
              <w:rPr>
                <w:rFonts w:hint="eastAsia"/>
                <w:sz w:val="18"/>
                <w:szCs w:val="18"/>
                <w:vertAlign w:val="baseline"/>
                <w:lang w:val="en-US" w:eastAsia="zh-CN"/>
              </w:rPr>
            </w:pPr>
          </w:p>
        </w:tc>
        <w:tc>
          <w:tcPr>
            <w:tcW w:w="4036"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8、按辽政发[2016]27号，公共管网供水区，按当地同类用途城市供水价格的1.5倍征收，水利供水区按同类用途供水价格1.5倍征收，省属水利工程供水价格，供给农业用水价格调整到0.1元每立方米，供给工业用水价格调整为0.91元每立方米（含水资源费0.05元），供给城市自来水用水价格调整到0.91元每立方米（含水资源费0.05元）。</w:t>
            </w:r>
          </w:p>
        </w:tc>
        <w:tc>
          <w:tcPr>
            <w:tcW w:w="3760" w:type="dxa"/>
            <w:vMerge w:val="continue"/>
            <w:vAlign w:val="center"/>
          </w:tcPr>
          <w:p>
            <w:pPr>
              <w:jc w:val="both"/>
              <w:rPr>
                <w:rFonts w:hint="eastAsia"/>
                <w:sz w:val="18"/>
                <w:szCs w:val="18"/>
                <w:vertAlign w:val="baseline"/>
                <w:lang w:val="en-US" w:eastAsia="zh-CN"/>
              </w:rPr>
            </w:pPr>
          </w:p>
        </w:tc>
        <w:tc>
          <w:tcPr>
            <w:tcW w:w="879" w:type="dxa"/>
            <w:vMerge w:val="continue"/>
            <w:vAlign w:val="center"/>
          </w:tcPr>
          <w:p>
            <w:pPr>
              <w:jc w:val="both"/>
              <w:rPr>
                <w:rFonts w:hint="eastAsia"/>
                <w:sz w:val="18"/>
                <w:szCs w:val="18"/>
                <w:vertAlign w:val="baseline"/>
                <w:lang w:val="en-US" w:eastAsia="zh-CN"/>
              </w:rPr>
            </w:pPr>
          </w:p>
        </w:tc>
        <w:tc>
          <w:tcPr>
            <w:tcW w:w="1241" w:type="dxa"/>
            <w:vMerge w:val="continue"/>
            <w:vAlign w:val="center"/>
          </w:tcPr>
          <w:p>
            <w:pPr>
              <w:jc w:val="both"/>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Merge w:val="continue"/>
            <w:vAlign w:val="center"/>
          </w:tcPr>
          <w:p>
            <w:pPr>
              <w:jc w:val="both"/>
              <w:rPr>
                <w:rFonts w:hint="eastAsia"/>
                <w:sz w:val="18"/>
                <w:szCs w:val="18"/>
                <w:vertAlign w:val="baseline"/>
                <w:lang w:val="en-US" w:eastAsia="zh-CN"/>
              </w:rPr>
            </w:pPr>
          </w:p>
        </w:tc>
        <w:tc>
          <w:tcPr>
            <w:tcW w:w="1200" w:type="dxa"/>
            <w:vMerge w:val="continue"/>
            <w:vAlign w:val="center"/>
          </w:tcPr>
          <w:p>
            <w:pPr>
              <w:jc w:val="both"/>
              <w:rPr>
                <w:rFonts w:hint="eastAsia"/>
                <w:sz w:val="18"/>
                <w:szCs w:val="18"/>
                <w:vertAlign w:val="baseline"/>
                <w:lang w:val="en-US" w:eastAsia="zh-CN"/>
              </w:rPr>
            </w:pPr>
          </w:p>
        </w:tc>
        <w:tc>
          <w:tcPr>
            <w:tcW w:w="2329"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13、水土保持补偿费</w:t>
            </w:r>
          </w:p>
        </w:tc>
        <w:tc>
          <w:tcPr>
            <w:tcW w:w="4036" w:type="dxa"/>
            <w:vAlign w:val="center"/>
          </w:tcPr>
          <w:p>
            <w:pPr>
              <w:jc w:val="both"/>
              <w:rPr>
                <w:rFonts w:hint="default" w:eastAsiaTheme="minorEastAsia"/>
                <w:sz w:val="18"/>
                <w:szCs w:val="18"/>
                <w:vertAlign w:val="baseline"/>
                <w:lang w:val="en-US" w:eastAsia="zh-CN"/>
              </w:rPr>
            </w:pPr>
            <w:r>
              <w:rPr>
                <w:rFonts w:hint="eastAsia"/>
                <w:sz w:val="18"/>
                <w:szCs w:val="18"/>
                <w:vertAlign w:val="baseline"/>
                <w:lang w:val="en-US" w:eastAsia="zh-CN"/>
              </w:rPr>
              <w:t>对一般性生产建设项目和开采矿产资源建设期间，按征占用地面积一次性计征，每平方米0.5-1.0元，其中林地（无工程果园)1.0元，疏林地0.8元；草地、荒地林草覆盖率70%以上的1.0元，70%-30%的0.8元，30%以下的0.5元；耕地0.5元，河滩、海滩及扰动原有路面，建筑物等0.5元，对水利水电工程建设项目，水库淹没区不在计征范围之内。2、开采矿产资源的，开采期间，石油、天然气以外的矿产资源按照产生的废弃土、石、渣量计征，收费标准为每立方米0.95元，石油、天然气根据油，气生产井（不包括水井、勘察井）占地面积按不超过2000平方米计算，对丛式井每增加1口井，增加计征面积按不超过400方米计算，每平方米每年收费1.0元。3、取土、挖砂（河道采砂除外），采石以及烧制砖，瓦、瓷、石灰的，根据取土，挖砂，采石量按照立方米0.95元计征。对缴纳义务人已按前两种方式计征水土保持补偿费的，不再重复计征，对缴纳义务人已按前两种方式计征水土保持补偿费的，不再重复计征。4、排放废弃土、石渣的，根据土、石、渣量，按照每立方米0.95元计征，对缴纳义务人已按前三种方式计征水土保持补偿费，不再重复计征。</w:t>
            </w:r>
          </w:p>
        </w:tc>
        <w:tc>
          <w:tcPr>
            <w:tcW w:w="3760"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《水地保持法》，财综[2014]8号，辽财非[2014]277号，辽价发[2018]56号，按财税[2020]58号，辽财税[2020]383号，自2021年1月1日起，划转至税务部门征收。</w:t>
            </w:r>
          </w:p>
        </w:tc>
        <w:tc>
          <w:tcPr>
            <w:tcW w:w="879" w:type="dxa"/>
            <w:vAlign w:val="center"/>
          </w:tcPr>
          <w:p>
            <w:pPr>
              <w:jc w:val="both"/>
              <w:rPr>
                <w:rFonts w:hint="eastAsia"/>
                <w:sz w:val="18"/>
                <w:szCs w:val="18"/>
                <w:vertAlign w:val="baseline"/>
                <w:lang w:val="en-US" w:eastAsia="zh-CN"/>
              </w:rPr>
            </w:pPr>
            <w:r>
              <w:rPr>
                <w:rFonts w:hint="eastAsia"/>
                <w:sz w:val="18"/>
                <w:szCs w:val="18"/>
                <w:vertAlign w:val="baseline"/>
                <w:lang w:val="en-US" w:eastAsia="zh-CN"/>
              </w:rPr>
              <w:t>中央</w:t>
            </w:r>
          </w:p>
        </w:tc>
        <w:tc>
          <w:tcPr>
            <w:tcW w:w="1241" w:type="dxa"/>
            <w:vAlign w:val="center"/>
          </w:tcPr>
          <w:p>
            <w:pPr>
              <w:jc w:val="both"/>
              <w:rPr>
                <w:rFonts w:hint="eastAsia"/>
                <w:sz w:val="18"/>
                <w:szCs w:val="18"/>
                <w:vertAlign w:val="baseline"/>
                <w:lang w:val="en-US" w:eastAsia="zh-CN"/>
              </w:rPr>
            </w:pPr>
            <w:r>
              <w:rPr>
                <w:rFonts w:hint="eastAsia"/>
                <w:sz w:val="18"/>
                <w:szCs w:val="18"/>
                <w:vertAlign w:val="baseline"/>
                <w:lang w:val="en-US" w:eastAsia="zh-CN"/>
              </w:rPr>
              <w:t>87335803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Merge w:val="restart"/>
            <w:vAlign w:val="center"/>
          </w:tcPr>
          <w:p>
            <w:pPr>
              <w:jc w:val="both"/>
              <w:rPr>
                <w:rFonts w:hint="eastAsia"/>
                <w:sz w:val="18"/>
                <w:szCs w:val="18"/>
                <w:vertAlign w:val="baseline"/>
                <w:lang w:val="en-US" w:eastAsia="zh-CN"/>
              </w:rPr>
            </w:pPr>
            <w:r>
              <w:rPr>
                <w:rFonts w:hint="eastAsia"/>
                <w:sz w:val="18"/>
                <w:szCs w:val="18"/>
                <w:vertAlign w:val="baseline"/>
                <w:lang w:val="en-US" w:eastAsia="zh-CN"/>
              </w:rPr>
              <w:t>九</w:t>
            </w:r>
          </w:p>
        </w:tc>
        <w:tc>
          <w:tcPr>
            <w:tcW w:w="1200" w:type="dxa"/>
            <w:vMerge w:val="restart"/>
            <w:vAlign w:val="center"/>
          </w:tcPr>
          <w:p>
            <w:pPr>
              <w:jc w:val="both"/>
              <w:rPr>
                <w:rFonts w:hint="eastAsia"/>
                <w:sz w:val="18"/>
                <w:szCs w:val="18"/>
                <w:vertAlign w:val="baseline"/>
                <w:lang w:val="en-US" w:eastAsia="zh-CN"/>
              </w:rPr>
            </w:pPr>
            <w:r>
              <w:rPr>
                <w:rFonts w:hint="eastAsia"/>
                <w:sz w:val="18"/>
                <w:szCs w:val="18"/>
                <w:vertAlign w:val="baseline"/>
                <w:lang w:val="en-US" w:eastAsia="zh-CN"/>
              </w:rPr>
              <w:t>市场监督管理</w:t>
            </w:r>
          </w:p>
        </w:tc>
        <w:tc>
          <w:tcPr>
            <w:tcW w:w="2329"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14、特种设备检验检测收费</w:t>
            </w:r>
          </w:p>
        </w:tc>
        <w:tc>
          <w:tcPr>
            <w:tcW w:w="4036" w:type="dxa"/>
            <w:vAlign w:val="center"/>
          </w:tcPr>
          <w:p>
            <w:pPr>
              <w:jc w:val="both"/>
              <w:rPr>
                <w:rFonts w:hint="eastAsia"/>
                <w:sz w:val="18"/>
                <w:szCs w:val="18"/>
                <w:vertAlign w:val="baseline"/>
                <w:lang w:val="en-US" w:eastAsia="zh-CN"/>
              </w:rPr>
            </w:pPr>
          </w:p>
        </w:tc>
        <w:tc>
          <w:tcPr>
            <w:tcW w:w="3760" w:type="dxa"/>
            <w:vMerge w:val="restart"/>
            <w:vAlign w:val="center"/>
          </w:tcPr>
          <w:p>
            <w:pPr>
              <w:jc w:val="both"/>
              <w:rPr>
                <w:rFonts w:hint="default"/>
                <w:sz w:val="18"/>
                <w:szCs w:val="18"/>
                <w:vertAlign w:val="baseline"/>
                <w:lang w:val="en-US" w:eastAsia="zh-CN"/>
              </w:rPr>
            </w:pPr>
            <w:r>
              <w:rPr>
                <w:rFonts w:hint="eastAsia"/>
                <w:sz w:val="18"/>
                <w:szCs w:val="18"/>
                <w:vertAlign w:val="baseline"/>
                <w:lang w:val="en-US" w:eastAsia="zh-CN"/>
              </w:rPr>
              <w:t>[1992]价费字268号，财综[2001]10号，财综[2001]32号，财预[2002]584号，计价格[2002]1346，财预[2003]470号，辽价发[2017]97号</w:t>
            </w:r>
          </w:p>
        </w:tc>
        <w:tc>
          <w:tcPr>
            <w:tcW w:w="879" w:type="dxa"/>
            <w:vMerge w:val="restart"/>
            <w:vAlign w:val="center"/>
          </w:tcPr>
          <w:p>
            <w:pPr>
              <w:jc w:val="both"/>
              <w:rPr>
                <w:rFonts w:hint="eastAsia"/>
                <w:sz w:val="18"/>
                <w:szCs w:val="18"/>
                <w:vertAlign w:val="baseline"/>
                <w:lang w:val="en-US" w:eastAsia="zh-CN"/>
              </w:rPr>
            </w:pPr>
            <w:r>
              <w:rPr>
                <w:rFonts w:hint="eastAsia"/>
                <w:sz w:val="18"/>
                <w:szCs w:val="18"/>
                <w:vertAlign w:val="baseline"/>
                <w:lang w:val="en-US" w:eastAsia="zh-CN"/>
              </w:rPr>
              <w:t>中央</w:t>
            </w:r>
          </w:p>
        </w:tc>
        <w:tc>
          <w:tcPr>
            <w:tcW w:w="1241" w:type="dxa"/>
            <w:vMerge w:val="restart"/>
            <w:vAlign w:val="center"/>
          </w:tcPr>
          <w:p>
            <w:pPr>
              <w:jc w:val="both"/>
              <w:rPr>
                <w:rFonts w:hint="eastAsia"/>
                <w:sz w:val="18"/>
                <w:szCs w:val="18"/>
                <w:vertAlign w:val="baseline"/>
                <w:lang w:val="en-US" w:eastAsia="zh-CN"/>
              </w:rPr>
            </w:pPr>
            <w:r>
              <w:rPr>
                <w:rFonts w:hint="eastAsia"/>
                <w:sz w:val="18"/>
                <w:szCs w:val="18"/>
                <w:vertAlign w:val="baseline"/>
                <w:lang w:val="en-US" w:eastAsia="zh-CN"/>
              </w:rPr>
              <w:t>87335803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Merge w:val="continue"/>
            <w:vAlign w:val="center"/>
          </w:tcPr>
          <w:p>
            <w:pPr>
              <w:jc w:val="both"/>
              <w:rPr>
                <w:rFonts w:hint="eastAsia"/>
                <w:sz w:val="18"/>
                <w:szCs w:val="18"/>
                <w:vertAlign w:val="baseline"/>
                <w:lang w:val="en-US" w:eastAsia="zh-CN"/>
              </w:rPr>
            </w:pPr>
          </w:p>
        </w:tc>
        <w:tc>
          <w:tcPr>
            <w:tcW w:w="1200" w:type="dxa"/>
            <w:vMerge w:val="continue"/>
            <w:vAlign w:val="center"/>
          </w:tcPr>
          <w:p>
            <w:pPr>
              <w:jc w:val="both"/>
              <w:rPr>
                <w:rFonts w:hint="eastAsia"/>
                <w:sz w:val="18"/>
                <w:szCs w:val="18"/>
                <w:vertAlign w:val="baseline"/>
                <w:lang w:val="en-US" w:eastAsia="zh-CN"/>
              </w:rPr>
            </w:pPr>
          </w:p>
        </w:tc>
        <w:tc>
          <w:tcPr>
            <w:tcW w:w="2329"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（1）特种设备检验检测收费</w:t>
            </w:r>
          </w:p>
        </w:tc>
        <w:tc>
          <w:tcPr>
            <w:tcW w:w="4036"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按辽价发[2017]97号文件规定标准执行</w:t>
            </w:r>
          </w:p>
        </w:tc>
        <w:tc>
          <w:tcPr>
            <w:tcW w:w="3760" w:type="dxa"/>
            <w:vMerge w:val="continue"/>
            <w:vAlign w:val="center"/>
          </w:tcPr>
          <w:p>
            <w:pPr>
              <w:jc w:val="both"/>
              <w:rPr>
                <w:rFonts w:hint="eastAsia"/>
                <w:sz w:val="18"/>
                <w:szCs w:val="18"/>
                <w:vertAlign w:val="baseline"/>
                <w:lang w:val="en-US" w:eastAsia="zh-CN"/>
              </w:rPr>
            </w:pPr>
          </w:p>
        </w:tc>
        <w:tc>
          <w:tcPr>
            <w:tcW w:w="879" w:type="dxa"/>
            <w:vMerge w:val="continue"/>
            <w:vAlign w:val="center"/>
          </w:tcPr>
          <w:p>
            <w:pPr>
              <w:jc w:val="both"/>
              <w:rPr>
                <w:rFonts w:hint="eastAsia"/>
                <w:sz w:val="18"/>
                <w:szCs w:val="18"/>
                <w:vertAlign w:val="baseline"/>
                <w:lang w:val="en-US" w:eastAsia="zh-CN"/>
              </w:rPr>
            </w:pPr>
          </w:p>
        </w:tc>
        <w:tc>
          <w:tcPr>
            <w:tcW w:w="1241" w:type="dxa"/>
            <w:vMerge w:val="continue"/>
            <w:vAlign w:val="center"/>
          </w:tcPr>
          <w:p>
            <w:pPr>
              <w:jc w:val="both"/>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Merge w:val="continue"/>
            <w:vAlign w:val="center"/>
          </w:tcPr>
          <w:p>
            <w:pPr>
              <w:jc w:val="both"/>
              <w:rPr>
                <w:rFonts w:hint="eastAsia"/>
                <w:sz w:val="18"/>
                <w:szCs w:val="18"/>
                <w:vertAlign w:val="baseline"/>
                <w:lang w:val="en-US" w:eastAsia="zh-CN"/>
              </w:rPr>
            </w:pPr>
          </w:p>
        </w:tc>
        <w:tc>
          <w:tcPr>
            <w:tcW w:w="1200" w:type="dxa"/>
            <w:vMerge w:val="continue"/>
            <w:vAlign w:val="center"/>
          </w:tcPr>
          <w:p>
            <w:pPr>
              <w:jc w:val="both"/>
              <w:rPr>
                <w:rFonts w:hint="eastAsia"/>
                <w:sz w:val="18"/>
                <w:szCs w:val="18"/>
                <w:vertAlign w:val="baseline"/>
                <w:lang w:val="en-US" w:eastAsia="zh-CN"/>
              </w:rPr>
            </w:pPr>
          </w:p>
        </w:tc>
        <w:tc>
          <w:tcPr>
            <w:tcW w:w="2329"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（2）特种设备作业人员考核收费</w:t>
            </w:r>
          </w:p>
        </w:tc>
        <w:tc>
          <w:tcPr>
            <w:tcW w:w="4036" w:type="dxa"/>
            <w:vAlign w:val="center"/>
          </w:tcPr>
          <w:p>
            <w:pPr>
              <w:jc w:val="both"/>
              <w:rPr>
                <w:rFonts w:hint="eastAsia"/>
                <w:sz w:val="18"/>
                <w:szCs w:val="18"/>
                <w:vertAlign w:val="baseline"/>
                <w:lang w:val="en-US" w:eastAsia="zh-CN"/>
              </w:rPr>
            </w:pPr>
            <w:r>
              <w:rPr>
                <w:rFonts w:hint="eastAsia"/>
                <w:sz w:val="18"/>
                <w:szCs w:val="18"/>
                <w:vertAlign w:val="baseline"/>
                <w:lang w:val="en-US" w:eastAsia="zh-CN"/>
              </w:rPr>
              <w:t>按辽价发[2017]97号文件规定标准执行</w:t>
            </w:r>
          </w:p>
        </w:tc>
        <w:tc>
          <w:tcPr>
            <w:tcW w:w="3760" w:type="dxa"/>
            <w:vMerge w:val="continue"/>
            <w:vAlign w:val="center"/>
          </w:tcPr>
          <w:p>
            <w:pPr>
              <w:jc w:val="both"/>
              <w:rPr>
                <w:rFonts w:hint="eastAsia"/>
                <w:sz w:val="18"/>
                <w:szCs w:val="18"/>
                <w:vertAlign w:val="baseline"/>
                <w:lang w:val="en-US" w:eastAsia="zh-CN"/>
              </w:rPr>
            </w:pPr>
          </w:p>
        </w:tc>
        <w:tc>
          <w:tcPr>
            <w:tcW w:w="879" w:type="dxa"/>
            <w:vMerge w:val="continue"/>
            <w:vAlign w:val="center"/>
          </w:tcPr>
          <w:p>
            <w:pPr>
              <w:jc w:val="both"/>
              <w:rPr>
                <w:rFonts w:hint="eastAsia"/>
                <w:sz w:val="18"/>
                <w:szCs w:val="18"/>
                <w:vertAlign w:val="baseline"/>
                <w:lang w:val="en-US" w:eastAsia="zh-CN"/>
              </w:rPr>
            </w:pPr>
          </w:p>
        </w:tc>
        <w:tc>
          <w:tcPr>
            <w:tcW w:w="1241" w:type="dxa"/>
            <w:vMerge w:val="continue"/>
            <w:vAlign w:val="center"/>
          </w:tcPr>
          <w:p>
            <w:pPr>
              <w:jc w:val="both"/>
              <w:rPr>
                <w:rFonts w:hint="eastAsia"/>
                <w:sz w:val="18"/>
                <w:szCs w:val="18"/>
                <w:vertAlign w:val="baseline"/>
                <w:lang w:val="en-US" w:eastAsia="zh-CN"/>
              </w:rPr>
            </w:pPr>
          </w:p>
        </w:tc>
      </w:tr>
    </w:tbl>
    <w:p>
      <w:pPr>
        <w:rPr>
          <w:rFonts w:hint="eastAsia"/>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zNzk0OGRlZTg4ZmQ5MGVjOWZhZDhiZjdjMDg4MGMifQ=="/>
  </w:docVars>
  <w:rsids>
    <w:rsidRoot w:val="21294125"/>
    <w:rsid w:val="07F96A19"/>
    <w:rsid w:val="0ED51A9F"/>
    <w:rsid w:val="12282688"/>
    <w:rsid w:val="21294125"/>
    <w:rsid w:val="29151314"/>
    <w:rsid w:val="2AB91729"/>
    <w:rsid w:val="2CA80CDC"/>
    <w:rsid w:val="2D6A6739"/>
    <w:rsid w:val="2E0103D9"/>
    <w:rsid w:val="2FEC7142"/>
    <w:rsid w:val="3FDA7652"/>
    <w:rsid w:val="472A525C"/>
    <w:rsid w:val="49CF3D2D"/>
    <w:rsid w:val="4E552272"/>
    <w:rsid w:val="52984706"/>
    <w:rsid w:val="5F0F3E7F"/>
    <w:rsid w:val="62124DD3"/>
    <w:rsid w:val="68DF0CA9"/>
    <w:rsid w:val="7E632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3853</Words>
  <Characters>4992</Characters>
  <Lines>0</Lines>
  <Paragraphs>0</Paragraphs>
  <TotalTime>23</TotalTime>
  <ScaleCrop>false</ScaleCrop>
  <LinksUpToDate>false</LinksUpToDate>
  <CharactersWithSpaces>4993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2021-08-03T01:06:00Z</dcterms:created>
  <dc:creator>复印社开锁13644031880</dc:creator>
  <cp:lastModifiedBy>86138</cp:lastModifiedBy>
  <dcterms:modified xsi:type="dcterms:W3CDTF">2023-07-19T00:45:06Z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A8BDB08278C34714AC829ECDDB3E79B2</vt:lpwstr>
  </property>
</Properties>
</file>